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BSBR</w:t>
      </w:r>
      <w:r>
        <w:rPr>
          <w:rFonts w:ascii="Calibri" w:hAnsi="Calibri"/>
          <w:b/>
          <w:color w:val="1A2010"/>
          <w:sz w:val="40"/>
        </w:rPr>
        <w:t xml:space="preserve">  Banco Santander Brasil SA</w:t>
      </w:r>
    </w:p>
    <w:p>
      <w:pPr>
        <w:spacing w:after="120"/>
      </w:pPr>
      <w:r>
        <w:rPr>
          <w:rFonts w:ascii="Calibri" w:hAnsi="Calibri"/>
          <w:b/>
          <w:color w:val="6E8450"/>
          <w:sz w:val="18"/>
        </w:rPr>
        <w:t>DIVIDEND SLEEVE · 2026-05-05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Brazil</w:t>
      </w:r>
    </w:p>
    <w:p>
      <w:pPr>
        <w:spacing w:after="80"/>
      </w:pPr>
      <w:r>
        <w:rPr>
          <w:rFonts w:ascii="Calibri" w:hAnsi="Calibri"/>
          <w:b w:val="0"/>
          <w:color w:val="3A4A28"/>
          <w:sz w:val="20"/>
        </w:rPr>
        <w:t>Banco Santander Brasil is one of Brazil's largest private-sector banks, offering commercial banking, global wholesale banking, consumer finance, insurance, investment products, and digital banking services to individuals, SMEs, and corporate customers. A subsidiary of Spain's Banco Santander S.A.</w:t>
      </w:r>
    </w:p>
    <w:p>
      <w:r>
        <w:rPr>
          <w:rFonts w:ascii="Calibri" w:hAnsi="Calibri"/>
          <w:b/>
          <w:color w:val="6E8450"/>
          <w:sz w:val="18"/>
        </w:rPr>
        <w:t>49,661 Employees · https://www.santander.com.br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Santander Brasil has executed a digital transformation strategy resulting in 20%+ productivity gains from technology adoption and development of a super-app consolidating all services [2]. No transformative pivot — the bank remains a traditional Brazilian bank with digital upgrades. AI Deployment (2/2): The parent Santander group is deploying OpenAI, Gemini, and Anthropic for genAI applications across the enterprise, and is considering a proprietary LLM; management cited 20%+ productivity gains already achieved with hopes to reach 40-50% [2]. Market Share (1/2): Santander Brasil is a top-5 Brazilian bank but not the market leader — it competes behind Itau Unibanco and Bradesco, with stable but not dominant market positioning [1]. Pipeline (1/2): The super-app strategy consolidating investments, wholesale, and third-party services represents a clear digital roadmap, plus Santander Rewards Program for customer engagement [1][2]. R&amp;D Intensity (0/1): No specific R&amp;D spending data available as a bank; technology investment is embedded in operations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Santander Brasil's mission centers on helping people and businesses prosper, which is clear but generic and interchangeable with most global banks [2]. Community Impact (1/2): CEO Mario Leao promotes diversity initiatives, community engagement, and sustainable business practices publicly; the bank is relocating to a sustainability-focused tech campus [3]. Employee Retention (1/2): The bank employs 49,661 people with CEO Leao actively promoting employee achievements and inclusive culture on social media, though no specific turnover data available [2]. Insider Buying (1/2): CEO Mario Leao has been in role since January 2022 with continued equity compensation alignment, though no specific insider purchase transactions cited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 Brasil demonstrates solid financial infrastructure for a dividend-paying bank. Q1 2026 revenue of R$21.2B grew 0.9% YoY, with total revenue of $4.25B beating estimates by 2.91% [1]. Forward P/E of 6.1x is exceptionally cheap reflecting both Brazilian country risk and earnings growth potential (EPS forecast $0.95 vs trailing $0.33). Profit margin of 28% is strong for a bank. ROE of 10.5% (trailing) with management targeting 20% by 2028 shows improvement trajectory. Dividend yield of 5.87% provides income but payout ratio of 132% is unsustainably high in the short term [1][3]. Net profit of R$3.8B in Q1 2026 was down 7.3% QoQ but the bank has a 50+ year dividend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Santander Brasil benefits from the parent group's century-long banking heritage and long-term strategic planning, including the 2028 ROE target. However, as a subsidiary of a global bank, its strategic decisions are constrained by parent company directives, limiting true autonomy in existential choices.</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 Brasil's purpose of helping people and businesses prosper is genuine but generic — it does not differentiate from competitors or inspire beyond standard banking platitudes [2]. The parent Santander group's multi-decade presence in Brazil (since 1970) demonstrates persistence, but the cause has not been a distinctive competitive advantage in the way Sinek envisions.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Mario Leao promotes employee achievements, diversity initiatives, and progressive culture publicly [2]. The bank has 49,661 employees with stable leadership since Leao's appointment in January 2022. However, large bank environments typically face bureaucratic challenges, and no specific retention or trust metrics distinguish Santander Brasil from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 Brasil operates alongside Itau Unibanco and Bradesco (larger traditional banks) plus Nubank (digital disruptor). The digital transformation strategy and super-app development suggest the bank is learning from fintech rivals' digital-first approaches rather than simply trying to crush them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bank's digital transformation and super-app consolidation represent meaningful strategic evolution from traditional branch banking [2]. The planned relocation to a sustainability-focused tech campus signals willingness to reinvent operations [3]. However, these are incremental improvements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public commitment to a 20% ROE target by 2028 despite Q1 2026 profitability declining to 16% demonstrates forward conviction over short-term optics [1]. Continued heavy investment in technology and AI despite near-term margin pressure shows willingness to sacrifice current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Banco Santander Brasil offers compelling value as a high-yield Brazilian bank trading at 6.1x forward earnings with a 5.87% dividend yield and 27% earnings growth [1]. Q1 2026 revenue of $4.25B beat estimates by 2.9%, and the bank's aggressive digital transformation (OpenAI/Gemini/Anthropic deployment, super-app consolidation) positions it to defend against fintech competition while driving 20-50% productivity gains [2]. Management targets 20% ROE by 2028, up from current 16%, implying significant earnings upside. The PEG ratio of 0.42 suggests the stock is deeply undervalued relative to its growth trajectory. With $43B market cap, Santander Brasil is a liquid, institutional-quality vehicle for Brazilian banking exposure [1].</w:t>
      </w:r>
    </w:p>
    <w:p>
      <w:pPr>
        <w:spacing w:after="120"/>
      </w:pPr>
      <w:r>
        <w:rPr>
          <w:rFonts w:ascii="Calibri" w:hAnsi="Calibri"/>
          <w:b w:val="0"/>
          <w:color w:val="3A4A28"/>
          <w:sz w:val="20"/>
        </w:rPr>
        <w:t>The bear case centers on Brazilian macroeconomic risk and profitability headwinds. Q1 2026 net profit declined 7.3% QoQ and 1.9% YoY to R$3.8B, with ROAE falling to 16% (down 1.5pp YoY) — suggesting the path to 20% ROE may be longer than management projects [1]. The payout ratio of 132% is unsustainable and dividends may face cuts if profitability does not recover. Brazilian interest rates, currency volatility (BRL/USD exposure for ADR holders), and political risk create macro headwinds. Climate activists have criticized parent Santander for diluting emissions targets, which could affect ESG-sensitive investors [3]. Competition from Nubank (200M+ customers) and digital-first banks threatens to compress margins in consumer banking. As a subsidiary, BSBR's strategic decisions are ultimately controlled by the Spanish parent, limiting local management autonomy.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20% ROE by 2028 through operational efficiency gains (AI deployment targeting 40-50% productivity improvement) and revenue mix optimization [1][2]</w:t>
      </w:r>
    </w:p>
    <w:p>
      <w:pPr>
        <w:spacing w:before="40" w:after="40"/>
        <w:ind w:left="283"/>
      </w:pPr>
      <w:r>
        <w:rPr>
          <w:rFonts w:ascii="Calibri" w:hAnsi="Calibri"/>
          <w:b/>
          <w:color w:val="4A6B25"/>
          <w:sz w:val="20"/>
        </w:rPr>
        <w:t xml:space="preserve">2. </w:t>
      </w:r>
      <w:r>
        <w:rPr>
          <w:rFonts w:ascii="Calibri" w:hAnsi="Calibri"/>
          <w:b w:val="0"/>
          <w:color w:val="3A4A28"/>
          <w:sz w:val="20"/>
        </w:rPr>
        <w:t>Super-app consolidation of all banking, investment, and third-party services into a single platform driving customer engagement and cross-sell revenue [2]</w:t>
      </w:r>
    </w:p>
    <w:p>
      <w:pPr>
        <w:spacing w:before="40" w:after="40"/>
        <w:ind w:left="283"/>
      </w:pPr>
      <w:r>
        <w:rPr>
          <w:rFonts w:ascii="Calibri" w:hAnsi="Calibri"/>
          <w:b/>
          <w:color w:val="4A6B25"/>
          <w:sz w:val="20"/>
        </w:rPr>
        <w:t xml:space="preserve">3. </w:t>
      </w:r>
      <w:r>
        <w:rPr>
          <w:rFonts w:ascii="Calibri" w:hAnsi="Calibri"/>
          <w:b w:val="0"/>
          <w:color w:val="3A4A28"/>
          <w:sz w:val="20"/>
        </w:rPr>
        <w:t>Forward P/E of 6.1x with EPS projected at $0.95 (vs $0.33 trailing) suggests significant earnings re-rating if execution delivers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profitability decline (net profit -7.3% QoQ, ROAE 16%) and payout ratio of 132% raise dividend sustainability concerns if earnings do not recover [1]</w:t>
      </w:r>
    </w:p>
    <w:p>
      <w:pPr>
        <w:spacing w:before="40" w:after="40"/>
        <w:ind w:left="283"/>
      </w:pPr>
      <w:r>
        <w:rPr>
          <w:rFonts w:ascii="Calibri" w:hAnsi="Calibri"/>
          <w:b/>
          <w:color w:val="4A6B25"/>
          <w:sz w:val="20"/>
        </w:rPr>
        <w:t xml:space="preserve">2. </w:t>
      </w:r>
      <w:r>
        <w:rPr>
          <w:rFonts w:ascii="Calibri" w:hAnsi="Calibri"/>
          <w:b w:val="0"/>
          <w:color w:val="3A4A28"/>
          <w:sz w:val="20"/>
        </w:rPr>
        <w:t>Brazilian macroeconomic risk — high interest rates, BRL currency volatility, and political uncertainty create systemic headwinds for all local banks [1]</w:t>
      </w:r>
    </w:p>
    <w:p>
      <w:pPr>
        <w:spacing w:before="40" w:after="40"/>
        <w:ind w:left="283"/>
      </w:pPr>
      <w:r>
        <w:rPr>
          <w:rFonts w:ascii="Calibri" w:hAnsi="Calibri"/>
          <w:b/>
          <w:color w:val="4A6B25"/>
          <w:sz w:val="20"/>
        </w:rPr>
        <w:t xml:space="preserve">3. </w:t>
      </w:r>
      <w:r>
        <w:rPr>
          <w:rFonts w:ascii="Calibri" w:hAnsi="Calibri"/>
          <w:b w:val="0"/>
          <w:color w:val="3A4A28"/>
          <w:sz w:val="20"/>
        </w:rPr>
        <w:t>Fintech competition from Nubank and digital-first banks compressing consumer banking margins and threatening customer acquisition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regulated industry with physical branch infrastructure, compliance requirements, and relationship-based corporate banking that AI cannot easily displace [1]. Santander Brasil's core business — lending, deposits, payments, insurance — requires regulatory licenses and capital adequacy that create structural barriers to AI-native disruptors. However, fintech competition (Nubank, PicPay) using AI-first approaches does create moderate pressure on consumer banking margins and customer acquisition [2]. AI Opportunity (1/1): Santander is actively deploying genAI through OpenAI, Gemini, and Anthropic partnerships, achieving 20%+ productivity gains with ambitions for 40-50%, and considering a proprietary LLM — this represents meaningful cost-efficiency revenue uplift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Banco Santander Brasil Q1 2026 Earnings — Revenue $4.25B (+2.9% beat), net profit R$3.8B (-7.3% QoQ), ROAE 16%, FY2026 guidance; Investing.com and Seeking Alpha, April 2026</w:t>
      </w:r>
    </w:p>
    <w:p>
      <w:pPr>
        <w:spacing w:before="20" w:after="20"/>
        <w:ind w:left="170"/>
      </w:pPr>
      <w:r>
        <w:rPr>
          <w:rFonts w:ascii="Calibri" w:hAnsi="Calibri"/>
          <w:b/>
          <w:color w:val="4A6B25"/>
          <w:sz w:val="15"/>
        </w:rPr>
        <w:t xml:space="preserve">2. </w:t>
      </w:r>
      <w:r>
        <w:rPr>
          <w:rFonts w:ascii="Calibri" w:hAnsi="Calibri"/>
          <w:b w:val="0"/>
          <w:color w:val="3A4A28"/>
          <w:sz w:val="17"/>
        </w:rPr>
        <w:t>Santander AI Strategy — OpenAI/Gemini/Anthropic deployment, 20%+ productivity gains, super-app development, CEO Mario Leao digital leadership; Klover.ai and Santander corporate, 2025-2026</w:t>
      </w:r>
    </w:p>
    <w:p>
      <w:pPr>
        <w:spacing w:before="20" w:after="20"/>
        <w:ind w:left="170"/>
      </w:pPr>
      <w:r>
        <w:rPr>
          <w:rFonts w:ascii="Calibri" w:hAnsi="Calibri"/>
          <w:b/>
          <w:color w:val="4A6B25"/>
          <w:sz w:val="15"/>
        </w:rPr>
        <w:t xml:space="preserve">3. </w:t>
      </w:r>
      <w:r>
        <w:rPr>
          <w:rFonts w:ascii="Calibri" w:hAnsi="Calibri"/>
          <w:b w:val="0"/>
          <w:color w:val="3A4A28"/>
          <w:sz w:val="17"/>
        </w:rPr>
        <w:t>Banco Santander Brasil ESG — Climate target dilution criticism, new sustainability-focused tech campus, ESG Risk score 24; Yahoo Finance Sustainability,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