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BSY</w:t>
      </w:r>
      <w:r>
        <w:rPr>
          <w:rFonts w:ascii="Calibri" w:hAnsi="Calibri"/>
          <w:b/>
          <w:color w:val="1A2010"/>
          <w:sz w:val="40"/>
        </w:rPr>
        <w:t xml:space="preserve">  Bentley Systems, Incorporated</w:t>
      </w:r>
    </w:p>
    <w:p>
      <w:pPr>
        <w:spacing w:after="120"/>
      </w:pPr>
      <w:r>
        <w:rPr>
          <w:rFonts w:ascii="Calibri" w:hAnsi="Calibri"/>
          <w:b/>
          <w:color w:val="6E8450"/>
          <w:sz w:val="18"/>
        </w:rPr>
        <w:t>GROWTH SLEEVE · 2026-04-09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Bentley Systems provides infrastructure engineering software for designing, constructing, and operating infrastructure assets. Its platforms — MicroStation, ProjectWise, SYNCHRO, iTwin, and Cesium — serve civil, structural, geotechnical, and process engineers worldwide. The company supports digital twins, AI-enabled asset analytics, and infrastructure cloud applications across roads, bridges, dams, water networks, and industrial plants.</w:t>
      </w:r>
    </w:p>
    <w:p>
      <w:r>
        <w:rPr>
          <w:rFonts w:ascii="Calibri" w:hAnsi="Calibri"/>
          <w:b/>
          <w:color w:val="6E8450"/>
          <w:sz w:val="18"/>
        </w:rPr>
        <w:t>5,800 Employees · https://www.bentley.com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Bentley has successfully evolved from a desktop CAD company to a cloud-native infrastructure platform over the past five years, with the iTwin digital twin platform and Cesium geospatial technology emerging as significant new revenue streams [1][3]. The 2024 acquisition of Power Line Systems and expansion of Seequent (geoscience) broadened the portfolio meaningfully. Revenue grew 11% in 2025 to $1.50B with consistent double-digit growth. AI Deployment (2/2): Bentley is actively shipping AI-enabled products with measurable impact — AI-powered asset analytics for monitoring roads, bridges, dams, and telecommunications towers are in production, and management guided to accelerating AI monetization in 2026 [1][3]. The TigerAI-style integration shows concrete deployment. Market Share (2/2): Bentley is the clear category leader in infrastructure engineering software, the dominant platform for civil and structural engineers globally, competing effectively against Autodesk in a specialized niche with deep switching costs [3]. Pipeline (1/2): 2026 guidance of 11-13% constant-currency revenue growth with ARR growth of 10.5-12.5% provides clear visibility, and services reacceleration of 15-20% in constant currency shows pipeline strength [1]. R&amp;D Intensity (1/1): Software R&amp;D investment is substantial for a $1.5B revenue company, with continuous platform development across iTwin, Cesium, and Seequent.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Bentley's ES(D)G framework — 'Empowering Sustainable Development Goals' — reflects genuine intentionality in connecting infrastructure software to global sustainability outcomes [5]. The company explicitly links its products to enabling more sustainable, resilient infrastructure, going beyond generic tech company mission statements. This is thoughtful and distinctive but not yet validated through crisis. Community Impact (1/2): Bentley supports the global engineering community through its Going Digital Awards, academic partnerships, and sustainability-focused initiatives [5]. The company submitted Net Zero targets to SBTi. General corporate citizenship but not exceptional. Employee Retention (1/2): Glassdoor reviews describe a collaborative work culture with good work-life balance and friendly colleagues, though some employees note legacy product challenges [4]. The transition to Nicholas Cumins as first non-Bentley-family CEO (July 2024) was smooth, suggesting organizational stability. Insider Buying (1/2): The Bentley family retains significant ownership and control, aligning family wealth with long-term company performance. Founder Greg Bentley transitioned to Executive Chairman, maintaining skin in the game.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Bentley's financial profile is strong across all core growth metrics. D/E of 108% is elevated but manageable for a recurring-revenue software company generating $500-570M in guided free cash flow [6]. ROE of 24.9% significantly exceeds the 15% target, and profit margin of 18.5% approaches the 20% benchmark [6]. Revenue grew 11.9% YoY to $1.50B with a 3-year CAGR of 10.9%, consistently delivering double-digit growth [1]. Forward P/E of 22.3x is slightly above the 20x target but reflects the high-quality recurring revenue model with 10.5-12.5% ARR growth guided for 2026 [1]. 2026 adjusted operating income guided at $495-510M demonstrates operating leverage. Liquidity floor easily cleared at $112M daily volume (3.2M avg vol × $35.03)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Bentley Systems demonstrates strong infinite game characteristics as a 40-year-old family-founded company that has successfully evolved through multiple technology transitions. The deliberate CEO succession to Nicholas Cumins (first non-family CEO) while maintaining family involvement shows institutional thinking. The ES(D)G framework and focus on infrastructure that outlasts any single project exemplify long-term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Bentley's cause — enabling the world's infrastructure to be more sustainable, resilient, and efficiently managed — is genuine and partially validated. The company has spent 40 years serving infrastructure engineers, and the ES(D)G framework explicitly connects commercial software to sustainable development goals [5]. The transition from Greg Bentley to Cumins while preserving the 'engineering ethos' shows the cause transcends individual leaders [4]. However, the cause has evolved with market trends rather than defining them.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 collaborative environment with good work-life balance and supportive management [4]. The smooth CEO transition from the founding family to Nicholas Cumins in July 2024 suggests organizational stability and trust. With 5,800 employees and a 40-year history, the company has institutional stability. However, some employees note challenges working on legacy products, suggesting not all teams feel equally empowered.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Bentley explicitly acknowledges Autodesk's strengths in adjacent markets and frames its competitive positioning around specialized infrastructure engineering rather than trying to 'beat' Autodesk across all AEC software [3]. The partnership approach with Cesium (acquired) and integration with third-party platforms shows an openness to learning from others' strengths.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Bentley has evolved incrementally from desktop engineering software to cloud-native infrastructure platforms over 40 years, including the iTwin digital twin platform and Cesium geospatial acquisition [3]. These represent meaningful but incremental evolution rather than transformative reinvention. The company has never abandoned its core infrastructure engineering identity. 1 point.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Bentley family's decision to hire the first non-family CEO in 40 years (Nicholas Cumins, July 2024) while maintaining Greg Bentley as Executive Chairman shows courage to evolve leadership for long-term institutional health [4]. The company's sustained investment in the iTwin platform and Cesium acquisition during uncertain macro conditions demonstrate patient capital allocation. Maintaining the 'engineering ethos' identity while transitioning to cloud and AI shows principled strategic evolution [4].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Bentley Systems is the dominant infrastructure engineering software platform serving civil, structural, and geotechnical engineers globally, with deep switching costs and a 40-year track record. Revenue grew 11% to $1.50B in 2025 with 2026 guidance of 11-13% constant-currency growth to $1.685-1.715B [1]. The company is successfully monetizing AI through asset analytics and digital twin capabilities, with services revenue expected to reaccelerate 15-20% in 2026 [1]. At 22.3x forward P/E with $500-570M guided free cash flow, the valuation is reasonable for a high-quality recurring-revenue infrastructure software company [6]. The smooth leadership transition to Nicholas Cumins as first non-family CEO, combined with the Bentley family's continued ownership, provides both institutional evolution and alignment.</w:t>
      </w:r>
    </w:p>
    <w:p>
      <w:pPr>
        <w:spacing w:after="120"/>
      </w:pPr>
      <w:r>
        <w:rPr>
          <w:rFonts w:ascii="Calibri" w:hAnsi="Calibri"/>
          <w:b w:val="0"/>
          <w:color w:val="3A4A28"/>
          <w:sz w:val="20"/>
        </w:rPr>
        <w:t>The bear case focuses on valuation and competitive risks. At 41.2x trailing P/E, the stock requires continued execution on the 11-13% growth trajectory to avoid multiple compression [6]. D/E of 108% is elevated for a software company and limits financial flexibility during downturns. Autodesk's expanding infrastructure suite and AI-native engineering startups could challenge Bentley's specialized moat over time. The dividend yield of 0.8% provides minimal income support, and the stock has underperformed broader tech indices in recent quarters. Revenue growth of 11-13% is solid but unspectacular compared to AI-native software peers growing 25%+. The leadership transition from the founding family creates execution risk if Cumins shifts strategic direction or if the family's cultural influence diminishes. International infrastructure spending is cyclical and sensitive to government budget priorities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monetization acceleration in 2026 through asset analytics, digital twin AI features, and iTwin platform expansion driving services reacceleration of 15-20% [1]</w:t>
      </w:r>
    </w:p>
    <w:p>
      <w:pPr>
        <w:spacing w:before="40" w:after="40"/>
        <w:ind w:left="283"/>
      </w:pPr>
      <w:r>
        <w:rPr>
          <w:rFonts w:ascii="Calibri" w:hAnsi="Calibri"/>
          <w:b/>
          <w:color w:val="4A6B25"/>
          <w:sz w:val="20"/>
        </w:rPr>
        <w:t xml:space="preserve">2. </w:t>
      </w:r>
      <w:r>
        <w:rPr>
          <w:rFonts w:ascii="Calibri" w:hAnsi="Calibri"/>
          <w:b w:val="0"/>
          <w:color w:val="3A4A28"/>
          <w:sz w:val="20"/>
        </w:rPr>
        <w:t>ARR growth of 10.5-12.5% in 2026 demonstrates the recurring revenue flywheel with high visibility and predictability [1]</w:t>
      </w:r>
    </w:p>
    <w:p>
      <w:pPr>
        <w:spacing w:before="40" w:after="40"/>
        <w:ind w:left="283"/>
      </w:pPr>
      <w:r>
        <w:rPr>
          <w:rFonts w:ascii="Calibri" w:hAnsi="Calibri"/>
          <w:b/>
          <w:color w:val="4A6B25"/>
          <w:sz w:val="20"/>
        </w:rPr>
        <w:t xml:space="preserve">3. </w:t>
      </w:r>
      <w:r>
        <w:rPr>
          <w:rFonts w:ascii="Calibri" w:hAnsi="Calibri"/>
          <w:b w:val="0"/>
          <w:color w:val="3A4A28"/>
          <w:sz w:val="20"/>
        </w:rPr>
        <w:t>Global infrastructure spending boom driven by aging infrastructure, climate adaptation, and government stimulus programs benefits Bentley's core engineering software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valuation at 41.2x trailing P/E requires flawless execution on 11-13% growth guidance; any deceleration risks meaningful multiple compression [6]</w:t>
      </w:r>
    </w:p>
    <w:p>
      <w:pPr>
        <w:spacing w:before="40" w:after="40"/>
        <w:ind w:left="283"/>
      </w:pPr>
      <w:r>
        <w:rPr>
          <w:rFonts w:ascii="Calibri" w:hAnsi="Calibri"/>
          <w:b/>
          <w:color w:val="4A6B25"/>
          <w:sz w:val="20"/>
        </w:rPr>
        <w:t xml:space="preserve">2. </w:t>
      </w:r>
      <w:r>
        <w:rPr>
          <w:rFonts w:ascii="Calibri" w:hAnsi="Calibri"/>
          <w:b w:val="0"/>
          <w:color w:val="3A4A28"/>
          <w:sz w:val="20"/>
        </w:rPr>
        <w:t>Autodesk's expanding infrastructure engineering capabilities and AI-native startups could erode Bentley's specialized niche over time [3]</w:t>
      </w:r>
    </w:p>
    <w:p>
      <w:pPr>
        <w:spacing w:before="40" w:after="40"/>
        <w:ind w:left="283"/>
      </w:pPr>
      <w:r>
        <w:rPr>
          <w:rFonts w:ascii="Calibri" w:hAnsi="Calibri"/>
          <w:b/>
          <w:color w:val="4A6B25"/>
          <w:sz w:val="20"/>
        </w:rPr>
        <w:t xml:space="preserve">3. </w:t>
      </w:r>
      <w:r>
        <w:rPr>
          <w:rFonts w:ascii="Calibri" w:hAnsi="Calibri"/>
          <w:b w:val="0"/>
          <w:color w:val="3A4A28"/>
          <w:sz w:val="20"/>
        </w:rPr>
        <w:t>D/E of 108% and leadership transition risk from the first non-family CEO in 40 years create financial and strategic uncertainty [4][6]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Bentley's infrastructure engineering software serves a highly specialized, regulation-heavy market where AI augments rather than replaces engineering workflows [3][4]. Civil and structural engineering require professional certification, regulatory compliance, and liability frameworks that prevent full AI automation. However, AI-native tools from Autodesk and startups could challenge Bentley's position in design automation and generative engineering, creating moderate competitive pressure. The deep domain expertise embedded in Bentley's software (bridge analysis, geotechnical modeling, water systems) creates substantial switching costs that protect against AI disruption. AI Opportunity (1/1): Bentley is actively monetizing AI through asset analytics, digital twin AI features, and the iTwin platform. Management guided to 'expanding AI monetization' in 2026 with specific product releases, and services revenue is expected to reaccelerate 15-20% partly driven by AI-enabled capabilities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Bentley Systems FY2025 Earnings and FY2026 Guidance — $1.50B revenue, 11-13% growth guidance, $495-510M adj. operating income, Nasdaq/Seeking Alpha, March 2026</w:t>
      </w:r>
    </w:p>
    <w:p>
      <w:pPr>
        <w:spacing w:before="20" w:after="20"/>
        <w:ind w:left="170"/>
      </w:pPr>
      <w:r>
        <w:rPr>
          <w:rFonts w:ascii="Calibri" w:hAnsi="Calibri"/>
          <w:b/>
          <w:color w:val="4A6B25"/>
          <w:sz w:val="15"/>
        </w:rPr>
        <w:t xml:space="preserve">2. </w:t>
      </w:r>
      <w:r>
        <w:rPr>
          <w:rFonts w:ascii="Calibri" w:hAnsi="Calibri"/>
          <w:b w:val="0"/>
          <w:color w:val="3A4A28"/>
          <w:sz w:val="17"/>
        </w:rPr>
        <w:t>Bentley Systems Q4 2025 Earnings Call — ARR growth, AI monetization, services reacceleration, TipRanks/Globe and Mail coverage</w:t>
      </w:r>
    </w:p>
    <w:p>
      <w:pPr>
        <w:spacing w:before="20" w:after="20"/>
        <w:ind w:left="170"/>
      </w:pPr>
      <w:r>
        <w:rPr>
          <w:rFonts w:ascii="Calibri" w:hAnsi="Calibri"/>
          <w:b/>
          <w:color w:val="4A6B25"/>
          <w:sz w:val="15"/>
        </w:rPr>
        <w:t xml:space="preserve">3. </w:t>
      </w:r>
      <w:r>
        <w:rPr>
          <w:rFonts w:ascii="Calibri" w:hAnsi="Calibri"/>
          <w:b w:val="0"/>
          <w:color w:val="3A4A28"/>
          <w:sz w:val="17"/>
        </w:rPr>
        <w:t>Bentley Systems Company Profile — infrastructure engineering software, iTwin platform, Cesium, market position, ENR coverage</w:t>
      </w:r>
    </w:p>
    <w:p>
      <w:pPr>
        <w:spacing w:before="20" w:after="20"/>
        <w:ind w:left="170"/>
      </w:pPr>
      <w:r>
        <w:rPr>
          <w:rFonts w:ascii="Calibri" w:hAnsi="Calibri"/>
          <w:b/>
          <w:color w:val="4A6B25"/>
          <w:sz w:val="15"/>
        </w:rPr>
        <w:t xml:space="preserve">4. </w:t>
      </w:r>
      <w:r>
        <w:rPr>
          <w:rFonts w:ascii="Calibri" w:hAnsi="Calibri"/>
          <w:b w:val="0"/>
          <w:color w:val="3A4A28"/>
          <w:sz w:val="17"/>
        </w:rPr>
        <w:t>Nicholas Cumins CEO appointment — first non-family CEO, preserving engineering ethos, Glassdoor culture reviews, BusinessWire July 2024</w:t>
      </w:r>
    </w:p>
    <w:p>
      <w:pPr>
        <w:spacing w:before="20" w:after="20"/>
        <w:ind w:left="170"/>
      </w:pPr>
      <w:r>
        <w:rPr>
          <w:rFonts w:ascii="Calibri" w:hAnsi="Calibri"/>
          <w:b/>
          <w:color w:val="4A6B25"/>
          <w:sz w:val="15"/>
        </w:rPr>
        <w:t xml:space="preserve">5. </w:t>
      </w:r>
      <w:r>
        <w:rPr>
          <w:rFonts w:ascii="Calibri" w:hAnsi="Calibri"/>
          <w:b w:val="0"/>
          <w:color w:val="3A4A28"/>
          <w:sz w:val="17"/>
        </w:rPr>
        <w:t>Bentley Systems ESG Overview — ES(D)G framework, SBTi Net Zero targets, sustainability initiatives, Bentley.com</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BSY (Bentley Systems),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