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BTBT</w:t>
      </w:r>
      <w:r>
        <w:rPr>
          <w:rFonts w:ascii="Calibri" w:hAnsi="Calibri"/>
          <w:b/>
          <w:color w:val="1A2010"/>
          <w:sz w:val="40"/>
        </w:rPr>
        <w:t xml:space="preserve">  Bit Digital, Inc.</w:t>
      </w:r>
    </w:p>
    <w:p>
      <w:pPr>
        <w:spacing w:after="120"/>
      </w:pPr>
      <w:r>
        <w:rPr>
          <w:rFonts w:ascii="Calibri" w:hAnsi="Calibri"/>
          <w:b/>
          <w:color w:val="6E8450"/>
          <w:sz w:val="18"/>
        </w:rPr>
        <w:t>GROWTH SLEEVE · 2026-03-23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Bit Digital is a Strategic Asset Company focused on Ethereum infrastructure (staking 132,000+ ETH) and AI/HPC infrastructure through its majority-owned subsidiary WhiteFiber (NASDAQ: WYFI). The company fully exited Bitcoin mining operations to concentrate on Ethereum treasury strategies and high-performance computing.</w:t>
      </w:r>
    </w:p>
    <w:p>
      <w:r>
        <w:rPr>
          <w:rFonts w:ascii="Calibri" w:hAnsi="Calibri"/>
          <w:b/>
          <w:color w:val="6E8450"/>
          <w:sz w:val="18"/>
        </w:rPr>
        <w:t>54 Employees · https://www.bit-digital.com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Successfully pivoted from Bitcoin mining to Ethereum staking and HPC, becoming the first in its sector to exit mining. FY2024 revenue of $108.1M was up 141% [1]. AI Deployment (1/2): WhiteFiber provides GPU cloud services and HPC colocation purpose-built for AI workloads; binding term sheet with HPC customer representing $700M revenue opportunity over 5 years [2]. Market Share (1/2): Early mover in crypto-to-HPC pivot but remains small-cap with limited market presence. Pipeline (1/2): WhiteFiber spinoff, $500M ATM offering, and $700M HPC contract represent significant growth optionality. R&amp;D Intensity (1/1): Strategic investments in AI-ready infrastructure demonstrate innovation focus.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Vision of providing exposure to 'two of the most important innovations of our time — Ethereum and AI' is topical but lacks enduring purpose. Community Impact (0/2): Minimal community engagement with only 54 employees. Employee Retention (1/2): Key hires including CTO Tom Sanfilippo and Head of Revenue Benjamin Lamson suggest talent attraction [2]. Insider Buying (1/2): CEO Sam Tabar's compensation includes significant equity alignment, and Brock Pierce's board membership adds crypto-world credibility.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BTBT reported TTM revenue of $107.3M with 49.97% gross margin and net margin of 123.78% (boosted by $168M Ethereum appreciation gains) [1][3]. P/E of 2.35x appears cheap but is distorted by unrealized crypto gains. D/E of 4.0% is extremely low, and the company holds 155,227 ETH worth approximately $400M+. However, operating cash flow is negative with FCF of -$1.41/share. The stock has declined significantly from highs. Liquidity floor: 26.7M avg volume x $1.55 = $41.3M daily turnover passes.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Bit Digital shows infinite game thinking through its willingness to completely exit Bitcoin mining and reinvent itself, but the company's rapid strategic shifts (BTC mining to ETH staking to HPC) and reliance on crypto market appreciation for profitability suggest reactive rather than visionary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Tabar frames Bit Digital's mission around 'active participation' in Ethereum infrastructure and AI/HPC — a purpose that reflects market opportunity more than transcendent vision. The WhiteFiber spinoff shows strategic clarity but not an enduring cause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Strategic hires for CTO and Head of Revenue positions demonstrate investment in team building. However, with 54 employees and a CEO appointed just 3 years ago, the company is still forming its cultural identity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Tabar acknowledged that 'most miners today either want to exit or add higher-margin businesses like HPC,' showing competitive awareness. The decision to separate BTBT and WhiteFiber reflects understanding of how different investor bases value different business models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Complete exit from Bitcoin mining and pivot to Ethereum staking plus HPC represents significant existential flexibility. Tabar noted they 'were the first in our sector to announce we were exiting — we got a lot of flack, but we were right'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Exiting Bitcoin mining against industry consensus and spinning out WhiteFiber as a separate entity showed conviction. However, the $500M ATM offering for 'HPC and AI growth' creates significant dilution risk that tests shareholder trust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Bit Digital offers dual exposure to Ethereum (155,227 ETH worth $400M+) and AI infrastructure (WhiteFiber) at a $502M market cap, implying the HPC business trades at minimal value [1]. The company has near-zero debt (4.0% D/E), was the first miner to exit BTC operations, and signed a $700M HPC contract [2]. The Crypto Climate Accord signatory commitment and clean energy operations provide ESG credibility. If Ethereum prices recover and WhiteFiber executes on its HPC pipeline, significant upside exists from these levels.</w:t>
      </w:r>
    </w:p>
    <w:p>
      <w:pPr>
        <w:spacing w:after="120"/>
      </w:pPr>
      <w:r>
        <w:rPr>
          <w:rFonts w:ascii="Calibri" w:hAnsi="Calibri"/>
          <w:b w:val="0"/>
          <w:color w:val="3A4A28"/>
          <w:sz w:val="20"/>
        </w:rPr>
        <w:t>The bear case is substantial: BTBT's profitability is entirely dependent on Ethereum price appreciation ($168M gain in Q3 alone), and operating cash flow remains negative at -$1.41/share FCF [1]. The stock is down significantly from 52-week highs, and the $500M ATM offering creates substantial dilution overhang. WhiteFiber's HPC business is nascent and competing against much larger players like CoreWeave and Cipher Digital. Customer concentration risk is high, and the company's 54-person workforce limits execution capacity. Ethereum's proof-of-stake transition reduces energy controversy but introduces new staking-specific risks.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Ethereum price recovery would directly enhance the value of 155,227 ETH holdings and staking revenue stream</w:t>
      </w:r>
    </w:p>
    <w:p>
      <w:pPr>
        <w:spacing w:before="40" w:after="40"/>
        <w:ind w:left="283"/>
      </w:pPr>
      <w:r>
        <w:rPr>
          <w:rFonts w:ascii="Calibri" w:hAnsi="Calibri"/>
          <w:b/>
          <w:color w:val="4A6B25"/>
          <w:sz w:val="20"/>
        </w:rPr>
        <w:t xml:space="preserve">2. </w:t>
      </w:r>
      <w:r>
        <w:rPr>
          <w:rFonts w:ascii="Calibri" w:hAnsi="Calibri"/>
          <w:b w:val="0"/>
          <w:color w:val="3A4A28"/>
          <w:sz w:val="20"/>
        </w:rPr>
        <w:t>WhiteFiber HPC customer contract execution — $700M binding term sheet conversion to revenue commencing 2026</w:t>
      </w:r>
    </w:p>
    <w:p>
      <w:pPr>
        <w:spacing w:before="40" w:after="40"/>
        <w:ind w:left="283"/>
      </w:pPr>
      <w:r>
        <w:rPr>
          <w:rFonts w:ascii="Calibri" w:hAnsi="Calibri"/>
          <w:b/>
          <w:color w:val="4A6B25"/>
          <w:sz w:val="20"/>
        </w:rPr>
        <w:t xml:space="preserve">3. </w:t>
      </w:r>
      <w:r>
        <w:rPr>
          <w:rFonts w:ascii="Calibri" w:hAnsi="Calibri"/>
          <w:b w:val="0"/>
          <w:color w:val="3A4A28"/>
          <w:sz w:val="20"/>
        </w:rPr>
        <w:t>WhiteFiber (WYFI) separate listing could unlock hidden value if HPC business achieves operational traction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Ethereum price volatility — 155,227 ETH exposure means a 30% ETH decline would erase approximately $120M in asset value</w:t>
      </w:r>
    </w:p>
    <w:p>
      <w:pPr>
        <w:spacing w:before="40" w:after="40"/>
        <w:ind w:left="283"/>
      </w:pPr>
      <w:r>
        <w:rPr>
          <w:rFonts w:ascii="Calibri" w:hAnsi="Calibri"/>
          <w:b/>
          <w:color w:val="4A6B25"/>
          <w:sz w:val="20"/>
        </w:rPr>
        <w:t xml:space="preserve">2. </w:t>
      </w:r>
      <w:r>
        <w:rPr>
          <w:rFonts w:ascii="Calibri" w:hAnsi="Calibri"/>
          <w:b w:val="0"/>
          <w:color w:val="3A4A28"/>
          <w:sz w:val="20"/>
        </w:rPr>
        <w:t>Negative operating cash flow with $500M ATM dilution overhang creates ongoing shareholder value erosion</w:t>
      </w:r>
    </w:p>
    <w:p>
      <w:pPr>
        <w:spacing w:before="40" w:after="40"/>
        <w:ind w:left="283"/>
      </w:pPr>
      <w:r>
        <w:rPr>
          <w:rFonts w:ascii="Calibri" w:hAnsi="Calibri"/>
          <w:b/>
          <w:color w:val="4A6B25"/>
          <w:sz w:val="20"/>
        </w:rPr>
        <w:t xml:space="preserve">3. </w:t>
      </w:r>
      <w:r>
        <w:rPr>
          <w:rFonts w:ascii="Calibri" w:hAnsi="Calibri"/>
          <w:b w:val="0"/>
          <w:color w:val="3A4A28"/>
          <w:sz w:val="20"/>
        </w:rPr>
        <w:t>WhiteFiber HPC execution risk against well-capitalized competitors — 54 employees managing complex data center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Bit Digital's Ethereum staking business has no AI disruption risk, while WhiteFiber's HPC infrastructure is a direct AI enabler [2]. However, the company's small scale and capital constraints limit its ability to compete with well-funded HPC providers. The Ethereum treasury strategy is exposed to crypto market volatility rather than AI disruption specifically. AI Opportunity (1/1): WhiteFiber provides purpose-built AI compute infrastructure with $700M contracted HPC revenue pipeline and GPU cloud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Bit Digital FY2024 and Q3 FY2025 Financial Results, 2025</w:t>
      </w:r>
    </w:p>
    <w:p>
      <w:pPr>
        <w:spacing w:before="20" w:after="20"/>
        <w:ind w:left="170"/>
      </w:pPr>
      <w:r>
        <w:rPr>
          <w:rFonts w:ascii="Calibri" w:hAnsi="Calibri"/>
          <w:b/>
          <w:color w:val="4A6B25"/>
          <w:sz w:val="15"/>
        </w:rPr>
        <w:t xml:space="preserve">2. </w:t>
      </w:r>
      <w:r>
        <w:rPr>
          <w:rFonts w:ascii="Calibri" w:hAnsi="Calibri"/>
          <w:b w:val="0"/>
          <w:color w:val="3A4A28"/>
          <w:sz w:val="17"/>
        </w:rPr>
        <w:t>Bit Digital CEO Sam Tabar — Proactive Investors and TheStreet interviews on AI pivot and Ethereum strategy, 2025-2026</w:t>
      </w:r>
    </w:p>
    <w:p>
      <w:pPr>
        <w:spacing w:before="20" w:after="20"/>
        <w:ind w:left="170"/>
      </w:pPr>
      <w:r>
        <w:rPr>
          <w:rFonts w:ascii="Calibri" w:hAnsi="Calibri"/>
          <w:b/>
          <w:color w:val="4A6B25"/>
          <w:sz w:val="15"/>
        </w:rPr>
        <w:t xml:space="preserve">3. </w:t>
      </w:r>
      <w:r>
        <w:rPr>
          <w:rFonts w:ascii="Calibri" w:hAnsi="Calibri"/>
          <w:b w:val="0"/>
          <w:color w:val="3A4A28"/>
          <w:sz w:val="17"/>
        </w:rPr>
        <w:t>Bit Digital ESG track record — Crypto Climate Accord signatory and environmental reporting, 2022-2025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BTBT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