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BTDR</w:t>
      </w:r>
      <w:r>
        <w:rPr>
          <w:rFonts w:ascii="Calibri" w:hAnsi="Calibri"/>
          <w:b/>
          <w:color w:val="1A2010"/>
          <w:sz w:val="40"/>
        </w:rPr>
        <w:t xml:space="preserve">  Bitdeer Technologies Group</w:t>
      </w:r>
    </w:p>
    <w:p>
      <w:pPr>
        <w:spacing w:after="120"/>
      </w:pPr>
      <w:r>
        <w:rPr>
          <w:rFonts w:ascii="Calibri" w:hAnsi="Calibri"/>
          <w:b/>
          <w:color w:val="6E8450"/>
          <w:sz w:val="18"/>
        </w:rPr>
        <w:t>GROWTH SLEEVE · 2026-03-28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Singapore</w:t>
      </w:r>
    </w:p>
    <w:p>
      <w:pPr>
        <w:spacing w:after="80"/>
      </w:pPr>
      <w:r>
        <w:rPr>
          <w:rFonts w:ascii="Calibri" w:hAnsi="Calibri"/>
          <w:b w:val="0"/>
          <w:color w:val="3A4A28"/>
          <w:sz w:val="20"/>
        </w:rPr>
        <w:t>Bitdeer Technologies is a vertically integrated blockchain and high-performance computing company. It designs proprietary ASIC mining chips (SEALMINER), operates Bitcoin mining data centers across Singapore, the US, Bhutan, and Norway, and is expanding into AI/HPC infrastructure. The company has a 3.0 GW global power pipeline with 1.66 GW currently online.</w:t>
      </w:r>
    </w:p>
    <w:p>
      <w:r>
        <w:rPr>
          <w:rFonts w:ascii="Calibri" w:hAnsi="Calibri"/>
          <w:b/>
          <w:color w:val="6E8450"/>
          <w:sz w:val="18"/>
        </w:rPr>
        <w:t>https://www.bitdeer.com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Bitdeer's self-mining revenue surged 306% YoY to $168.6M in Q4 2025, and self-mining hashrate reached 63.2 EH/s (626% increase YoY from January 2025) [1]. The company mined 668 Bitcoins in January 2026, up 430% from 126 a year prior. The successful tapeout of the SEAL-DL1 Litecoin/Doge ASIC chip and mass production targeting of SEALMINER 04-1 demonstrate genuine hardware innovation [1]. AI Deployment (1/2): Bitdeer deployed initial NVIDIA GB200 NVL72 infrastructure in Malaysia with GPU cloud ARR of ~$10M, representing early but real AI revenue generation. The Bitdeer AI Cloud initiative and AI x GECO Hackathons show intentional AI strategy [1][2]. Market Share (1/2): Bitdeer is among the largest Bitcoin miners globally by compute power with 63.2 EH/s, and its proprietary SEALMINER chips differentiate it from miners relying on third-party hardware, but it remains a mid-tier player behind Marathon Digital and Riot Platforms [1]. Pipeline (1/2): 3.0 GW global power pipeline (1.66 GW online, 1.34 GW in development), SEALMINER next-gen chip development (though SEAL04 has been delayed), and AI/HPC data center expansion provide visible growth runway [1][2]. R&amp;D Intensity (1/1): Proprietary ASIC chip design (SEALMINER) represents substantial R&amp;D investment unusual for crypto miners, positioning Bitdeer as a technology company rather than pure commodity miner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Bitdeer describes its culture as 'deeply rooted in customer focus, relentless pursuit of excellence, and commitment to employee happiness,' which is generic and interchangeable with any technology company. The company's purpose is essentially to mine Bitcoin and provide computing infrastructure — functional but not inspirational in Sinek's framework [2]. Community Impact (1/2): Bitdeer's Bhutan partnership leveraging hydropower created a $500M fund for sustainable mining facilities, and its Norway operations use innovative immersion cooling technology. The company participated in Texas grid stabilization by reducing usage during strain [3]. Employee Retention (1/2): Management team average tenure of only 1.8 years and board average of 2.7 years indicate a new organization still forming its identity. Limited employee review data available for the company [2]. Insider Buying (1/2): CEO Jihan Wu directly owns 20.44% of shares worth $519.8M, representing massive personal alignment with company performance, though this is founder equity rather than open-market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Bitdeer's financial profile reflects a high-growth crypto miner in transformation. Q4 2025 quarterly revenue of $224.8M grew 225.8% YoY, driven by self-mining expansion (score 1.0 for YoY growth) [1]. However, annual revenue from 2021 ($394.7M) to 2024 ($349.8M) declined at -3.9% CAGR (score 0.07), reflecting crypto cycle volatility [4]. ROE of 11.5% is below the 15% target but positive (score 0.76) [4]. D/E of 126.7% reflects convertible note financing — $375M senior convertible notes bolster the balance sheet but add leverage (score 0.75) [1][4]. Forward P/E is negative (-1254.9x), indicating expected near-term losses as the company invests heavily in expansion (score 0.0) [4]. Profit margin of 10.6% is moderate (score 0.53) [4]. Liquidity floor cleared: 7.7M avg vol x $8.37 = $64.5M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Bitdeer under CEO Jihan Wu is a company in rapid transformation — pivoting from pure crypto mining toward AI/HPC infrastructure while simultaneously scaling Bitcoin self-mining. The strategy is ambitious but fundamentally opportunistic, chasing the most profitable use of power and compute at any given moment. The securities fraud class action, SEAL04 chip delays, and $266.7M net loss raise questions about execution discipline and transparency. At just 5 years old as a public entity with 1.8-year average management tenure, Bitdeer has not yet demonstrated the endurance and consistency that infinite game thinking requires.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Bitdeer lacks a Just Cause in Sinek's framework. The company's purpose is to mine Bitcoin and provide computing infrastructure — there is no articulated vision of a future state that transcends profit maximization. CEO Wu's Davos thesis that 'mining infrastructure makes large-scale power investment viable' is an economic argument, not a cause. The company pivots between crypto and AI based on market opportunity rather than mission conviction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Management team average tenure of 1.8 years and board tenure of 2.7 years indicate an organization still forming, with limited evidence of deep institutional trust [2]. The securities fraud class action alleging misleading statements about SEALMINER A4 chip efficiency and SEAL04 delays suggests potential transparency gaps between leadership and investors [3]. The November 2025 facility fire in Massillon, Ohio adds operational concern. No employee culture data (Glassdoor reviews) was found for the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Bitdeer's competitive framing is expansionist — moving into AI/HPC to compete with established cloud providers while simultaneously scaling crypto mining against Marathon Digital and Riot Platforms. There is no evidence of the company acknowledging competitors' strengths as motivation for self-improvement; the approach appears focused on claiming territory rather than learning from rivals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Bitdeer's pivot from pure crypto mining services toward vertically integrated operations (proprietary ASIC chips + self-mining + AI/HPC hosting) represents meaningful strategic evolution [1][2]. The company's thesis that crypto mining infrastructure can dual-purpose for AI workloads shows adaptive thinking. However, it's too early to tell if this is transformative flexibility driven by conviction or opportunistic pivoting driven by market conditions. The $500M Bhutan hydropower fund and Norway immersion cooling investment suggest long-term infrastructure thinking.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Bitdeer invested $180-200M in 2026 crypto mining CapEx while simultaneously funding AI expansion and proprietary chip development, demonstrating willingness to invest during uncertainty [1]. CEO Wu's 20.44% ownership ($519.8M) represents genuine personal skin in the game. However, the $266.7M net loss in recent quarters and delayed SEAL04 chip raise questions about whether the investments are courageous bets or undisciplined capital allocation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Bitdeer Technologies is executing an ambitious vertical integration strategy — designing proprietary SEALMINER ASIC chips, scaling self-mining hashrate 626% YoY to 63.2 EH/s, and pivoting into AI/HPC infrastructure with a 3.0 GW global power pipeline [1]. Q4 2025 revenue of $224.8M grew 225.8% YoY with self-mining revenue up 306% as Bitcoin mining economics improved. The company mined 668 BTC in January 2026 (430% YoY increase) and deployed NVIDIA GB200 NVL72 AI infrastructure in Malaysia with ~$10M GPU cloud ARR [1]. CEO Jihan Wu's 20.44% ownership ($519.8M) provides significant alignment, and the dual-use thesis — crypto mining infrastructure supporting AI workloads — offers optionality if the AI data center boom continues [2].</w:t>
      </w:r>
    </w:p>
    <w:p>
      <w:pPr>
        <w:spacing w:after="120"/>
      </w:pPr>
      <w:r>
        <w:rPr>
          <w:rFonts w:ascii="Calibri" w:hAnsi="Calibri"/>
          <w:b w:val="0"/>
          <w:color w:val="3A4A28"/>
          <w:sz w:val="20"/>
        </w:rPr>
        <w:t>The bear case is dominated by governance, execution, and financial risk. A securities fraud class action filed in December 2025 alleges Bitdeer misled investors about SEALMINER A4 chip efficiency and SEAL04 development timeline, with early samples testing above the 5 J/TH target and next-gen chip 'significantly delayed' [3]. The company reported a $266.7M net loss, and the negative forward P/E indicates analysts expect continued losses near-term [3][4]. D/E of 126.7% includes $375M in convertible notes, creating dilution risk. Management tenure of only 1.8 years and board tenure of 2.7 years raise execution concerns during a critical strategic pivot. Bitcoin price volatility directly drives revenue — a sustained BTC price decline would compress margins on the self-mining business. The AI/HPC pivot puts Bitdeer in competition with vastly better-resourced cloud providers (AWS, CoreWeave) with no established competitive moat in AI infrastructure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Self-mining hashrate expansion — 63.2 EH/s in January 2026 with continued SEALMINER deployment targeting further capacity growth across 3.0 GW power pipeline [1]</w:t>
      </w:r>
    </w:p>
    <w:p>
      <w:pPr>
        <w:spacing w:before="40" w:after="40"/>
        <w:ind w:left="283"/>
      </w:pPr>
      <w:r>
        <w:rPr>
          <w:rFonts w:ascii="Calibri" w:hAnsi="Calibri"/>
          <w:b/>
          <w:color w:val="4A6B25"/>
          <w:sz w:val="20"/>
        </w:rPr>
        <w:t xml:space="preserve">2. </w:t>
      </w:r>
      <w:r>
        <w:rPr>
          <w:rFonts w:ascii="Calibri" w:hAnsi="Calibri"/>
          <w:b w:val="0"/>
          <w:color w:val="3A4A28"/>
          <w:sz w:val="20"/>
        </w:rPr>
        <w:t>AI/HPC infrastructure buildout — NVIDIA GB200 NVL72 deployment in Malaysia scaling toward meaningful GPU cloud revenue beyond initial $10M ARR [1]</w:t>
      </w:r>
    </w:p>
    <w:p>
      <w:pPr>
        <w:spacing w:before="40" w:after="40"/>
        <w:ind w:left="283"/>
      </w:pPr>
      <w:r>
        <w:rPr>
          <w:rFonts w:ascii="Calibri" w:hAnsi="Calibri"/>
          <w:b/>
          <w:color w:val="4A6B25"/>
          <w:sz w:val="20"/>
        </w:rPr>
        <w:t xml:space="preserve">3. </w:t>
      </w:r>
      <w:r>
        <w:rPr>
          <w:rFonts w:ascii="Calibri" w:hAnsi="Calibri"/>
          <w:b w:val="0"/>
          <w:color w:val="3A4A28"/>
          <w:sz w:val="20"/>
        </w:rPr>
        <w:t>SEALMINER 04-1 mass production targeting Q1 2026 with next-gen SEAL-DL1 Litecoin/Doge ASIC diversifying the proprietary chip portfolio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 alleging misleading statements about SEALMINER A4 chip efficiency and SEAL04 delays — potential financial liability and management distraction [3]</w:t>
      </w:r>
    </w:p>
    <w:p>
      <w:pPr>
        <w:spacing w:before="40" w:after="40"/>
        <w:ind w:left="283"/>
      </w:pPr>
      <w:r>
        <w:rPr>
          <w:rFonts w:ascii="Calibri" w:hAnsi="Calibri"/>
          <w:b/>
          <w:color w:val="4A6B25"/>
          <w:sz w:val="20"/>
        </w:rPr>
        <w:t xml:space="preserve">2. </w:t>
      </w:r>
      <w:r>
        <w:rPr>
          <w:rFonts w:ascii="Calibri" w:hAnsi="Calibri"/>
          <w:b w:val="0"/>
          <w:color w:val="3A4A28"/>
          <w:sz w:val="20"/>
        </w:rPr>
        <w:t>Bitcoin price volatility — self-mining revenue (74.9% of Q4 revenue) is directly tied to BTC price, creating extreme earnings volatility in a commodity business [1]</w:t>
      </w:r>
    </w:p>
    <w:p>
      <w:pPr>
        <w:spacing w:before="40" w:after="40"/>
        <w:ind w:left="283"/>
      </w:pPr>
      <w:r>
        <w:rPr>
          <w:rFonts w:ascii="Calibri" w:hAnsi="Calibri"/>
          <w:b/>
          <w:color w:val="4A6B25"/>
          <w:sz w:val="20"/>
        </w:rPr>
        <w:t xml:space="preserve">3. </w:t>
      </w:r>
      <w:r>
        <w:rPr>
          <w:rFonts w:ascii="Calibri" w:hAnsi="Calibri"/>
          <w:b w:val="0"/>
          <w:color w:val="3A4A28"/>
          <w:sz w:val="20"/>
        </w:rPr>
        <w:t>AI/HPC competitive disadvantage — Bitdeer enters AI infrastructure against established hyperscalers and purpose-built providers (CoreWeave) with far greater scale, customer relationships, and software ecosystems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Bitdeer's core Bitcoin mining business faces indirect AI disruption risk — AI itself does not displace crypto mining, but the AI boom creates intense competition for the same resources (power, data center capacity, GPUs) that miners depend on [2]. Hyperscalers and AI companies are bidding up power contracts and data center capacity, potentially crowding out less-capitalized crypto miners. The company's pivot to AI/HPC hosting puts it in direct competition with established cloud providers (AWS, Azure, GCP) and purpose-built AI infrastructure companies (CoreWeave) that have vastly more resources and expertise. However, Bitdeer's physical infrastructure (3.0 GW power pipeline) and energy procurement capabilities provide real defensive assets [1][2]. AI Opportunity (1/1): GPU cloud ARR of ~$10M from NVIDIA GB200 NVL72 deployment in Malaysia represents early but quantifiable AI revenue, with AI/HPC data center expansion planned across multiple geographies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Bitdeer Technologies Q4 2025 Earnings and January 2026 Operational Update — $224.8M revenue, 63.2 EH/s hashrate, GPU cloud deployment, February 2026</w:t>
      </w:r>
    </w:p>
    <w:p>
      <w:pPr>
        <w:spacing w:before="20" w:after="20"/>
        <w:ind w:left="170"/>
      </w:pPr>
      <w:r>
        <w:rPr>
          <w:rFonts w:ascii="Calibri" w:hAnsi="Calibri"/>
          <w:b/>
          <w:color w:val="4A6B25"/>
          <w:sz w:val="15"/>
        </w:rPr>
        <w:t xml:space="preserve">2. </w:t>
      </w:r>
      <w:r>
        <w:rPr>
          <w:rFonts w:ascii="Calibri" w:hAnsi="Calibri"/>
          <w:b w:val="0"/>
          <w:color w:val="3A4A28"/>
          <w:sz w:val="17"/>
        </w:rPr>
        <w:t>Bitdeer Technologies leadership profiles, AI strategy, CEO Jihan Wu Davos commentary, Simply Wall St management analysis —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Bitdeer securities fraud class action (December 2025), Massillon Ohio facility fire, Bhutan hydropower partnership, environmental initiatives — StocksToTrade, ZLK, Stock Titan,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BTDR (Bitdeer Technologies),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