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BTE</w:t>
      </w:r>
      <w:r>
        <w:rPr>
          <w:rFonts w:ascii="Calibri" w:hAnsi="Calibri"/>
          <w:b/>
          <w:color w:val="1A2010"/>
          <w:sz w:val="40"/>
        </w:rPr>
        <w:t xml:space="preserve">  Baytex Energy Corp.</w:t>
      </w:r>
    </w:p>
    <w:p>
      <w:pPr>
        <w:spacing w:after="120"/>
      </w:pPr>
      <w:r>
        <w:rPr>
          <w:rFonts w:ascii="Calibri" w:hAnsi="Calibri"/>
          <w:b/>
          <w:color w:val="6E8450"/>
          <w:sz w:val="18"/>
        </w:rPr>
        <w:t>GROWTH SLEEVE · 2026-03-24 · Inspire: 0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53</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Energy · Oil &amp; Gas Exploration &amp; Production · NYSE · Canada</w:t>
      </w:r>
    </w:p>
    <w:p>
      <w:pPr>
        <w:spacing w:after="80"/>
      </w:pPr>
      <w:r>
        <w:rPr>
          <w:rFonts w:ascii="Calibri" w:hAnsi="Calibri"/>
          <w:b w:val="0"/>
          <w:color w:val="3A4A28"/>
          <w:sz w:val="20"/>
        </w:rPr>
        <w:t>Baytex Energy is a Canadian oil and gas producer that completed a strategic transformation in December 2025, divesting its U.S. Eagle Ford assets for $2.2B and becoming a pure-play Canadian operator. The company targets 67,000–69,000 boe/d in 2026 (3-5% growth), generates adjusted funds flow of $1.5B annually, and ended 2025 with a net cash position (debt eliminated). CEO succession to Chad Lundberg is effective May 2026.</w:t>
      </w:r>
    </w:p>
    <w:p>
      <w:r>
        <w:rPr>
          <w:rFonts w:ascii="Calibri" w:hAnsi="Calibri"/>
          <w:b/>
          <w:color w:val="6E8450"/>
          <w:sz w:val="18"/>
        </w:rPr>
        <w:t>2,200 Employees · https://www.baytexenergy.com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Baytex's Duvernay assets saw 46% YoY production growth in Q4 2025, demonstrating successful technical execution in a premium light oil play [1]. The company's three-year 3-5% production growth target from existing assets without major new capital — net cash position financing growth internally — is operationally disciplined [1]. However, Baytex is a pure-play oil producer with no technology differentiation, no AI deployment mentioned in earnings materials, and no pipeline of transformative innovations. The Eagle Ford divestiture is strategic repositioning rather than innovation.</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Baytex's mission — 'transforming resource potential into value for all stakeholders' — is clear but generic for the oil and gas sector [1]. CEO Eric Greager's succession to Chad Lundberg (effective May 2026) is an orderly transition reflecting organizational continuity. The company's ESG commitments include emissions reduction targets, but no Inspire data was found (score = 0, MIXED), suggesting limited faith-alignment research coverage for this smaller Canadian company. No documented community investment programs with specific dollar amounts.</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Baytex exited 2025 with CAD $857M in cash (net cash, fully undrawn credit facility) after eliminating net debt — its strongest financial position historically [1]. Full-year 2025 adjusted funds flow was $1.5B ($1.97/share), and 2026 E&amp;D expenditures of $550–625M generate 3-5% production growth at modest capex intensity. Q4 revenue declined 24% YoY to $534M following the Eagle Ford divestiture, but the ongoing portfolio is generating solid Canadian returns. Profit margins are attractive for an E&amp;P company. Dividend is $0.09/share annually — insufficient yield and history for the Dividend sleeve classification. Liquidity floor check: ~$3.50 × ~4.5M volume = &gt;$1M — passes.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5</w:t>
      </w:r>
      <w:r>
        <w:rPr>
          <w:rFonts w:ascii="Calibri" w:hAnsi="Calibri"/>
          <w:b w:val="0"/>
          <w:color w:val="9DAF88"/>
          <w:sz w:val="18"/>
        </w:rPr>
        <w:t xml:space="preserve"> /10</w:t>
      </w:r>
    </w:p>
    <w:p>
      <w:pPr>
        <w:spacing w:after="120"/>
      </w:pPr>
      <w:r>
        <w:rPr>
          <w:rFonts w:ascii="Calibri" w:hAnsi="Calibri"/>
          <w:b w:val="0"/>
          <w:color w:val="3A4A28"/>
          <w:sz w:val="18"/>
        </w:rPr>
        <w:t>Baytex plays a mixed game — the deliberate transformation to a pure-play Canadian operator, elimination of debt, and three-year production growth plan reflect disciplined long-horizon thinking. The orderly CEO succession and commitment to maintaining a net cash position through 2026–2028 demonstrate organizational maturity. However, as a commodity company with no differentiated technology or transformative purpose, Baytex is fundamentally a finite-game resource extraction business.</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Baytex's purpose — providing reliable Canadian energy while maximizing returns to shareholders — is honest but not transformative. The company's divestiture of U.S. assets to 'focus on Canadian excellence' reflects strategic clarity, but the cause is rooted in capital efficiency rather than broader social benefit.</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Baytex's organized CEO succession (Lundberg promoted from President/COO after 7 years at the company) and stable operating team suggest a high-trust organization. The company delivered 6% organic production growth in 2025, requiring coordinated cross-functional execution.</w:t>
      </w:r>
    </w:p>
    <w:p>
      <w:pPr>
        <w:spacing w:before="200" w:after="40"/>
      </w:pPr>
      <w:r>
        <w:rPr>
          <w:rFonts w:ascii="Calibri" w:hAnsi="Calibri"/>
          <w:b/>
          <w:color w:val="1A2010"/>
          <w:sz w:val="22"/>
        </w:rPr>
        <w:t>Worthy Rivals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Baytex benchmarks against Canadian peers (Cenovus, Canadian Natural Resources) and U.S. Permian operators on capital efficiency and returns. The decision to divest Eagle Ford and focus on Canadian advantages reflects self-aware strategic positioning relative to competition.</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The $2.2B Eagle Ford divestiture and strategic repositioning as a pure-play Canadian operator is a meaningful and courageous pivot — abandoning a significant U.S. operation to concentrate capital on Canadian advantages represents genuine existential flexibility [1].</w:t>
      </w:r>
    </w:p>
    <w:p>
      <w:pPr>
        <w:spacing w:before="200" w:after="40"/>
      </w:pPr>
      <w:r>
        <w:rPr>
          <w:rFonts w:ascii="Calibri" w:hAnsi="Calibri"/>
          <w:b/>
          <w:color w:val="1A2010"/>
          <w:sz w:val="22"/>
        </w:rPr>
        <w:t>Courage To Lead</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The Eagle Ford divestiture at what turned out to be favorable timing demonstrates good capital allocation, but divesting an asset to deleverage is financially pragmatic rather than courageously long-term. The $141M share repurchase since December 2025 (4% of shares) signals shareholder returns over reinvestment.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Baytex is one of the cheapest E&amp;P stocks in North America at ~5.8x forward earnings with no net debt and $857M in cash — the balance sheet transformation from leveraged to net-cash following the Eagle Ford divestiture is a fundamental value unlock [1]. The three-year plan (67,000→75,000 boe/d by 2028 at 3-5% annual growth) is funded entirely from operating cash flow at modest capex, and the Duvernay play's 46% YoY Q4 2025 growth demonstrates operational momentum. At current oil prices (~$70 WTI), Baytex generates substantial free cash flow that's being returned to shareholders through NCIBs.</w:t>
      </w:r>
    </w:p>
    <w:p>
      <w:pPr>
        <w:spacing w:after="120"/>
      </w:pPr>
      <w:r>
        <w:rPr>
          <w:rFonts w:ascii="Calibri" w:hAnsi="Calibri"/>
          <w:b w:val="0"/>
          <w:color w:val="3A4A28"/>
          <w:sz w:val="20"/>
        </w:rPr>
        <w:t>The bear case is commodity price risk and Canadian oil-specific discounts: Western Canadian Select (WCS) heavy oil trades at a persistent $15–20/bbl discount to WTI, and pipeline constraints periodically widen this differential further. The all-Canadian portfolio removes geographic diversification just as political uncertainty (carbon taxes, Indigenous land rights) is intensifying in Alberta. Revenue declined 24% YoY in Q4 following the Eagle Ford divestiture, and the 2026 production target of 67,000–69,000 boe/d is structurally smaller than the combined pre-divestiture portfolio.</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Duvernay asset development: Q4 2025 production of 10,600 boe/d (+46% YoY) is a high-margin light oil growth engine — continued ramp to 15,000+ boe/d would add $150M+ in annual cash flow [1]</w:t>
      </w:r>
    </w:p>
    <w:p>
      <w:pPr>
        <w:spacing w:before="40" w:after="40"/>
        <w:ind w:left="283"/>
      </w:pPr>
      <w:r>
        <w:rPr>
          <w:rFonts w:ascii="Calibri" w:hAnsi="Calibri"/>
          <w:b/>
          <w:color w:val="4A6B25"/>
          <w:sz w:val="20"/>
        </w:rPr>
        <w:t xml:space="preserve">2. </w:t>
      </w:r>
      <w:r>
        <w:rPr>
          <w:rFonts w:ascii="Calibri" w:hAnsi="Calibri"/>
          <w:b w:val="0"/>
          <w:color w:val="3A4A28"/>
          <w:sz w:val="20"/>
        </w:rPr>
        <w:t>Oil prices recovering toward $80 WTI — at $80/bbl versus current $70/bbl, Baytex's free cash flow improves by approximately $200M annually given its Canadian heavy oil portfolio</w:t>
      </w:r>
    </w:p>
    <w:p>
      <w:pPr>
        <w:spacing w:before="40" w:after="40"/>
        <w:ind w:left="283"/>
      </w:pPr>
      <w:r>
        <w:rPr>
          <w:rFonts w:ascii="Calibri" w:hAnsi="Calibri"/>
          <w:b/>
          <w:color w:val="4A6B25"/>
          <w:sz w:val="20"/>
        </w:rPr>
        <w:t xml:space="preserve">3. </w:t>
      </w:r>
      <w:r>
        <w:rPr>
          <w:rFonts w:ascii="Calibri" w:hAnsi="Calibri"/>
          <w:b w:val="0"/>
          <w:color w:val="3A4A28"/>
          <w:sz w:val="20"/>
        </w:rPr>
        <w:t>Share buyback completion: the $141M NCIB program (already 4% of shares) at ~$3.50 book value represents excellent capital allocation if maintained through 2026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WCS/WTI differential widening: TransMountain pipeline constraints or Enbridge issues could widen the heavy oil discount from $15 to $25+/bbl, directly compressing Baytex's realized prices by $150-200M annually</w:t>
      </w:r>
    </w:p>
    <w:p>
      <w:pPr>
        <w:spacing w:before="40" w:after="40"/>
        <w:ind w:left="283"/>
      </w:pPr>
      <w:r>
        <w:rPr>
          <w:rFonts w:ascii="Calibri" w:hAnsi="Calibri"/>
          <w:b/>
          <w:color w:val="4A6B25"/>
          <w:sz w:val="20"/>
        </w:rPr>
        <w:t xml:space="preserve">2. </w:t>
      </w:r>
      <w:r>
        <w:rPr>
          <w:rFonts w:ascii="Calibri" w:hAnsi="Calibri"/>
          <w:b w:val="0"/>
          <w:color w:val="3A4A28"/>
          <w:sz w:val="20"/>
        </w:rPr>
        <w:t>Oil price sensitivity: Baytex's 2026 budget is set at $65/bbl WTI — if prices fall to $55/bbl, the entire free cash flow generation disappears and the NCIB program would need to be suspended</w:t>
      </w:r>
    </w:p>
    <w:p>
      <w:pPr>
        <w:spacing w:before="40" w:after="40"/>
        <w:ind w:left="283"/>
      </w:pPr>
      <w:r>
        <w:rPr>
          <w:rFonts w:ascii="Calibri" w:hAnsi="Calibri"/>
          <w:b/>
          <w:color w:val="4A6B25"/>
          <w:sz w:val="20"/>
        </w:rPr>
        <w:t xml:space="preserve">3. </w:t>
      </w:r>
      <w:r>
        <w:rPr>
          <w:rFonts w:ascii="Calibri" w:hAnsi="Calibri"/>
          <w:b w:val="0"/>
          <w:color w:val="3A4A28"/>
          <w:sz w:val="20"/>
        </w:rPr>
        <w:t>Canadian political and regulatory risk: Alberta carbon tax progression, Indigenous consultation requirements for new well licenses, and potential federal methane regulations create operational and cost uncertainty for a pure-play Canadian producer</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Oil and gas extraction is a physical-world operation fundamentally immune to AI displacement — demand for energy is structural regardless of technological shifts [1]. The Duvernay and heavy oil assets produce commodities that AI cannot substitute. Slight reduction from maximum because Baytex has no documented AI adoption that provides revenue benefit or competitive differentiation, and smaller Canadian E&amp;P companies could face cost competition from larger operators using AI for reservoir optimization.</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0</w:t>
      </w:r>
      <w:r>
        <w:rPr>
          <w:rFonts w:ascii="Calibri" w:hAnsi="Calibri"/>
          <w:b/>
          <w:color w:val="B8860B"/>
          <w:sz w:val="20"/>
        </w:rPr>
        <w:t xml:space="preserve">    MIXED</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Baytex Energy Q4 and Full Year 2025 Results, March 4, 2026</w:t>
      </w:r>
    </w:p>
    <w:p>
      <w:pPr>
        <w:spacing w:before="20" w:after="20"/>
        <w:ind w:left="170"/>
      </w:pPr>
      <w:r>
        <w:rPr>
          <w:rFonts w:ascii="Calibri" w:hAnsi="Calibri"/>
          <w:b/>
          <w:color w:val="4A6B25"/>
          <w:sz w:val="15"/>
        </w:rPr>
        <w:t xml:space="preserve">2. </w:t>
      </w:r>
      <w:r>
        <w:rPr>
          <w:rFonts w:ascii="Calibri" w:hAnsi="Calibri"/>
          <w:b w:val="0"/>
          <w:color w:val="3A4A28"/>
          <w:sz w:val="17"/>
        </w:rPr>
        <w:t>Business Insurance — Baytex Q4 and Full Year 2025 Results Announcement, March 4, 2026</w:t>
      </w:r>
    </w:p>
    <w:p>
      <w:pPr>
        <w:spacing w:before="20" w:after="20"/>
        <w:ind w:left="170"/>
      </w:pPr>
      <w:r>
        <w:rPr>
          <w:rFonts w:ascii="Calibri" w:hAnsi="Calibri"/>
          <w:b/>
          <w:color w:val="4A6B25"/>
          <w:sz w:val="15"/>
        </w:rPr>
        <w:t xml:space="preserve">3. </w:t>
      </w:r>
      <w:r>
        <w:rPr>
          <w:rFonts w:ascii="Calibri" w:hAnsi="Calibri"/>
          <w:b w:val="0"/>
          <w:color w:val="3A4A28"/>
          <w:sz w:val="17"/>
        </w:rPr>
        <w:t>Investing.com — Baytex Energy Sets 2026 Budget, Targets 3-5% Production Growth, December 2025</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