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BTG</w:t>
      </w:r>
      <w:r>
        <w:rPr>
          <w:rFonts w:ascii="Calibri" w:hAnsi="Calibri"/>
          <w:b/>
          <w:color w:val="1A2010"/>
          <w:sz w:val="40"/>
        </w:rPr>
        <w:t xml:space="preserve">  B2Gold Corp.</w:t>
      </w:r>
    </w:p>
    <w:p>
      <w:pPr>
        <w:spacing w:after="120"/>
      </w:pPr>
      <w:r>
        <w:rPr>
          <w:rFonts w:ascii="Calibri" w:hAnsi="Calibri"/>
          <w:b/>
          <w:color w:val="6E8450"/>
          <w:sz w:val="18"/>
        </w:rPr>
        <w:t>GROWTH SLEEVE · 2026-05-12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B2Gold Corp. operates as an international gold producer with four operating mines: Fekola in Mali, Masbate in the Philippines, Otjikoto in Namibia, and Goose in Canada's Back River Gold District, plus the Gramalote development project in Colombia.</w:t>
      </w:r>
    </w:p>
    <w:p>
      <w:r>
        <w:rPr>
          <w:rFonts w:ascii="Calibri" w:hAnsi="Calibri"/>
          <w:b/>
          <w:color w:val="6E8450"/>
          <w:sz w:val="18"/>
        </w:rPr>
        <w:t>5,500 Employees · https://www.b2gold.com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B2Gold successfully brought the Goose Mine in Nunavut into production in 2024, a significant new mine development that added a fourth operating asset and diversified geographic risk — a meaningful but incremental extension of its existing gold mining business model [1]. AI Deployment (0/2): No evidence of AI-powered products or measurable AI-driven operational savings; gold mining remains a physically intensive, traditional industry with limited AI deployment at B2Gold. Market Share Leadership (1/2): B2Gold is a meaningful mid-tier gold producer (~900K oz/year) but not a category leader; it competes with larger producers like Barrick, Newmont, and Agnico Eagle for share [1]. Product Pipeline (1/2): The Gramalote project in Colombia provides visible growth optionality with 3.85M oz in resources, though specific development timelines remain subject to feasibility studies [2]. R&amp;D Intensity (1/1): For a gold miner, B2Gold invests above-average in exploration — $55M+ annual exploration budget across Mali, Canada, and Finland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B2Gold positions itself as a 'responsible international gold producer' committed to the communities where it operates — clear about what it does and for whom, but not distinctive or aspirational beyond standard mining industry positioning. Community &amp; Charitable Impact (2/2): B2Gold has robust community investment programs including education, healthcare, and infrastructure development in host countries (Mali, Philippines, Namibia); the company received multiple Towards Sustainable Mining awards and maintains comprehensive community development initiatives [3]. Employee Retention (1/2): Glassdoor rating of 3.4/5 with only 35% recommending to a friend is below average; employees cite work-life balance and career development concerns, though remote mine site work naturally creates retention challenges [4]. Insider Buying (0/2): Net insider selling observed — multiple senior officers exercised options and sold shares in April 2026 at $4.63; no meaningful open-market purchases by executives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Exceptional financial metrics driven by record gold prices and Goose Mine ramp-up. D/E of 14% is fortress-level, well below the 70% target — B2Gold operates with minimal leverage. ROE of 16.5% exceeds the 15% target. Revenue surged 117.7% YoY to $3.06B as gold prices rose and Goose production ramped. 3yr revenue CAGR of ~20.9% exceeds the 10% target. Forward P/E of 4.6x is extremely cheap. Profit margin of 14.8% is below the 20% target, reflecting higher costs from the Goose Mine ramp and all-in sustaining costs. Forward PEG is near zero given the earnings growth trajectory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B2Gold under founder Clive Johnson built a genuine mid-tier gold producer from scratch over 19 years, demonstrating long-term vision and patience. The company's commitment to responsible mining and community development in host countries reflects purpose beyond profit. However, the February 2026 leadership transition — with Johnson retiring and CFO Mike Cinnamond named successor — introduces uncertainty about whether the infinite-game culture will persist. The company's competitive language and strategy are focused on operational excellence rather than a transformative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B2Gold's founding purpose — building a responsible mid-tier gold producer focused on value creation through exploration, development, and sustainable operations — is genuine and has been lived out over 19 years. Clive Johnson's long tenure and consistent community investment demonstrate purpose, but the cause is ultimately operational ('mine gold responsibly') rather than aspirational or transformative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challenging picture — 35% recommendation rate and 2.6/5 culture rating suggest a low-trust environment. Employees cite management concerns and work-life balance issues. The CEO transition in 2026 with Johnson retiring adds organizational uncertainty. Remote mine site work contributes to cultural challenges, but the ratings are below average even for mining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B2Gold competes alongside Barrick Gold, Newmont, and Agnico Eagle, and has historically framed these peers as benchmarks for operational excellence rather than enemies to defeat. The company's investor presentations compare its cost performance and reserve replacement rates against peers as motivation to improve, reflecting an improvement-oriented competitive mindset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B2Gold evolved from a junior exploration company to a four-mine international producer, including the bold decision to develop the Goose Mine in remote Nunavut and the expansion from African operations to Philippine and Canadian jurisdictions. These moves demonstrate strategic evolution, though they are incremental within the gold mining framework rather than a transformative reinvention of the business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Clive Johnson demonstrated courage by investing in the Goose Mine development during uncertain gold price environments, committing significant capital to a remote Arctic project with long payback periods. The company also maintained its exploration budget during the 2022-2023 gold price softness. However, the leadership transition raises questions about future capital allocation discipline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B2Gold is a well-run mid-tier gold producer benefiting from record gold prices and the successful Goose Mine ramp-up. Q1 2026 delivered $1.16B revenue (more than doubling YoY), $206M net income, and $539M operating cash flow as production reached 237,763 oz (+23% YoY) with all four mines outperforming budget [1]. The fortress balance sheet (14% D/E) and forward P/E of 4.6x offer significant value in a rising gold price environment.</w:t>
      </w:r>
    </w:p>
    <w:p>
      <w:pPr>
        <w:spacing w:after="120"/>
      </w:pPr>
      <w:r>
        <w:rPr>
          <w:rFonts w:ascii="Calibri" w:hAnsi="Calibri"/>
          <w:b w:val="0"/>
          <w:color w:val="3A4A28"/>
          <w:sz w:val="20"/>
        </w:rPr>
        <w:t>The stock trades at a steep discount to mid-tier gold producer peers, reflecting lingering concerns about Mali geopolitical risk and the Goose Mine fire impact on Q2 production. The CEO transition from founder Clive Johnson to CFO Mike Cinnamond introduces execution risk but also brings fresh financial discipline. At current gold prices above $2,400/oz, B2Gold's 820K-970K oz 2026 production guidance implies substantial free cash flow generation. However, the Innovation and Inspiration scores limit the overall rating — gold mining is inherently a finite-resource extraction business with limited competitive differentiation [2][6].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gold prices above $2,400/oz driving margin expansion — at forward P/E of 4.6x, BTG offers significant upside if gold sustains elevated levels [1][6]</w:t>
      </w:r>
    </w:p>
    <w:p>
      <w:pPr>
        <w:spacing w:before="40" w:after="40"/>
        <w:ind w:left="283"/>
      </w:pPr>
      <w:r>
        <w:rPr>
          <w:rFonts w:ascii="Calibri" w:hAnsi="Calibri"/>
          <w:b/>
          <w:color w:val="4A6B25"/>
          <w:sz w:val="20"/>
        </w:rPr>
        <w:t xml:space="preserve">2. </w:t>
      </w:r>
      <w:r>
        <w:rPr>
          <w:rFonts w:ascii="Calibri" w:hAnsi="Calibri"/>
          <w:b w:val="0"/>
          <w:color w:val="3A4A28"/>
          <w:sz w:val="20"/>
        </w:rPr>
        <w:t>Goose Mine production ramping toward full capacity in 2026 with 237,763 oz produced in Q1 alone (+23% YoY), all four mines outperforming budget [1]</w:t>
      </w:r>
    </w:p>
    <w:p>
      <w:pPr>
        <w:spacing w:before="40" w:after="40"/>
        <w:ind w:left="283"/>
      </w:pPr>
      <w:r>
        <w:rPr>
          <w:rFonts w:ascii="Calibri" w:hAnsi="Calibri"/>
          <w:b/>
          <w:color w:val="4A6B25"/>
          <w:sz w:val="20"/>
        </w:rPr>
        <w:t xml:space="preserve">3. </w:t>
      </w:r>
      <w:r>
        <w:rPr>
          <w:rFonts w:ascii="Calibri" w:hAnsi="Calibri"/>
          <w:b w:val="0"/>
          <w:color w:val="3A4A28"/>
          <w:sz w:val="20"/>
        </w:rPr>
        <w:t>Gramalote project in Colombia (3.85M oz resource) provides significant long-term production growth optionality beyond current four-mine portfolio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Fekola Mine in Mali faces geopolitical risk — the Malian military government has imposed new mining codes and tax regimes that could impact profitability or continuity [2]</w:t>
      </w:r>
    </w:p>
    <w:p>
      <w:pPr>
        <w:spacing w:before="40" w:after="40"/>
        <w:ind w:left="283"/>
      </w:pPr>
      <w:r>
        <w:rPr>
          <w:rFonts w:ascii="Calibri" w:hAnsi="Calibri"/>
          <w:b/>
          <w:color w:val="4A6B25"/>
          <w:sz w:val="20"/>
        </w:rPr>
        <w:t xml:space="preserve">2. </w:t>
      </w:r>
      <w:r>
        <w:rPr>
          <w:rFonts w:ascii="Calibri" w:hAnsi="Calibri"/>
          <w:b w:val="0"/>
          <w:color w:val="3A4A28"/>
          <w:sz w:val="20"/>
        </w:rPr>
        <w:t>Goose Mine fire in Q2 2026 reduced quarterly production guidance to 18,000-20,000 oz from 29,000 oz forecast, highlighting operational risk of remote Arctic mining [1]</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 founder Clive Johnson retiring after 19 years; new CEO Mike Cinnamond (former CFO) is untested as a mine operator and strategic leader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mining is structurally immune to AI disruption — the core business involves physical extraction, processing, and sale of gold from underground and open-pit mines in remote locations across four countries. AI cannot substitute for drilling, blasting, hauling, and processing gold ore. If anything, AI adoption across industries increases demand for safe-haven assets like gold during periods of economic disruption [1]. No analyst has flagged AI as a threat to B2Gold's business model. AI Opportunity (0/1): B2Gold does not generate revenue from AI products or services; the company has not reported specific AI-driven operational savings or deployed AI-powered tools in its mining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B2Gold Corp. Q1 2026 Earnings Release — Revenue $1.16B, production 237,763 oz, May 2026</w:t>
      </w:r>
    </w:p>
    <w:p>
      <w:pPr>
        <w:spacing w:before="20" w:after="20"/>
        <w:ind w:left="170"/>
      </w:pPr>
      <w:r>
        <w:rPr>
          <w:rFonts w:ascii="Calibri" w:hAnsi="Calibri"/>
          <w:b/>
          <w:color w:val="4A6B25"/>
          <w:sz w:val="15"/>
        </w:rPr>
        <w:t xml:space="preserve">2. </w:t>
      </w:r>
      <w:r>
        <w:rPr>
          <w:rFonts w:ascii="Calibri" w:hAnsi="Calibri"/>
          <w:b w:val="0"/>
          <w:color w:val="3A4A28"/>
          <w:sz w:val="17"/>
        </w:rPr>
        <w:t>B2Gold Corp. Q4 and Full Year 2025 Results &amp; 2026 Guidance — Record $3B+ annual revenue, February 2026</w:t>
      </w:r>
    </w:p>
    <w:p>
      <w:pPr>
        <w:spacing w:before="20" w:after="20"/>
        <w:ind w:left="170"/>
      </w:pPr>
      <w:r>
        <w:rPr>
          <w:rFonts w:ascii="Calibri" w:hAnsi="Calibri"/>
          <w:b/>
          <w:color w:val="4A6B25"/>
          <w:sz w:val="15"/>
        </w:rPr>
        <w:t xml:space="preserve">3. </w:t>
      </w:r>
      <w:r>
        <w:rPr>
          <w:rFonts w:ascii="Calibri" w:hAnsi="Calibri"/>
          <w:b w:val="0"/>
          <w:color w:val="3A4A28"/>
          <w:sz w:val="17"/>
        </w:rPr>
        <w:t>B2Gold Corp. — Leadership Transition Announcement, Clive Johnson retirement, February 2026</w:t>
      </w:r>
    </w:p>
    <w:p>
      <w:pPr>
        <w:spacing w:before="20" w:after="20"/>
        <w:ind w:left="170"/>
      </w:pPr>
      <w:r>
        <w:rPr>
          <w:rFonts w:ascii="Calibri" w:hAnsi="Calibri"/>
          <w:b/>
          <w:color w:val="4A6B25"/>
          <w:sz w:val="15"/>
        </w:rPr>
        <w:t xml:space="preserve">4. </w:t>
      </w:r>
      <w:r>
        <w:rPr>
          <w:rFonts w:ascii="Calibri" w:hAnsi="Calibri"/>
          <w:b w:val="0"/>
          <w:color w:val="3A4A28"/>
          <w:sz w:val="17"/>
        </w:rPr>
        <w:t>Glassdoor — B2Gold Employee Reviews,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SEDI — B2Gold Insider Transactions, accessed May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BTG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