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BTQ</w:t>
      </w:r>
      <w:r>
        <w:rPr>
          <w:rFonts w:ascii="Calibri" w:hAnsi="Calibri"/>
          <w:b/>
          <w:color w:val="1A2010"/>
          <w:sz w:val="40"/>
        </w:rPr>
        <w:t xml:space="preserve">  BTQ Technologies Corp.</w:t>
      </w:r>
    </w:p>
    <w:p>
      <w:pPr>
        <w:spacing w:after="120"/>
      </w:pPr>
      <w:r>
        <w:rPr>
          <w:rFonts w:ascii="Calibri" w:hAnsi="Calibri"/>
          <w:b/>
          <w:color w:val="6E8450"/>
          <w:sz w:val="18"/>
        </w:rPr>
        <w:t>GROWTH SLEEVE · 2026-04-15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Canada</w:t>
      </w:r>
    </w:p>
    <w:p>
      <w:pPr>
        <w:spacing w:after="80"/>
      </w:pPr>
      <w:r>
        <w:rPr>
          <w:rFonts w:ascii="Calibri" w:hAnsi="Calibri"/>
          <w:b w:val="0"/>
          <w:color w:val="3A4A28"/>
          <w:sz w:val="20"/>
        </w:rPr>
        <w:t>BTQ Technologies Corp. is a global quantum technology company focused on securing mission-critical networks. It develops post-quantum cryptography (PQC) hardware and software for blockchain, finance, defense, telecommunications, AI, IoT, and critical infrastructure. Product lines include QCIM hardware security modules, QPerfect, QSSN, and Bitcoin Quantum (BIP 360 quantum-resistant transactions).</w:t>
      </w:r>
    </w:p>
    <w:p>
      <w:r>
        <w:rPr>
          <w:rFonts w:ascii="Calibri" w:hAnsi="Calibri"/>
          <w:b/>
          <w:color w:val="6E8450"/>
          <w:sz w:val="18"/>
        </w:rPr>
        <w:t>50 Employees · https://www.btq.com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Trailing twelve-month revenue of just $404K and Q3 2025 net loss of -C$9.02M with zero quarterly revenue in the most recent period [1]. Still pre-commercial at scale. AI Deployment (1/2): Positioning PQC as foundational infrastructure for AI, IoT, and quantum-resilient networks but no material AI-generated revenue yet [2]. Market Share (1/2): Niche leader in quantum-safe Bitcoin (BIP 360 testnet implementation) and has high-profile partnerships with Hon Hai Research Institute and Keypair for KEPCO AMI deployment [2]. Pipeline (2/2): Four commercial pillars (QCIM, QPerfect, QSSN, Bitcoin Quantum), NIST-standardized PQC on Bitcoin, and a Korean critical-infrastructure pipeline via Keypair investment [2]. R&amp;D Intensity (1/1): R&amp;D is essentially the entire business; hired Radical Semiconductor founders as full-time leaders in silicon and hardware security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'Securing mission-critical networks' against the quantum threat is a credible, differentiated just cause tied directly to NIST PQC standards [2]. Community Impact (1/2): Small employee base; impact is largely aspirational at this stage. Employee Retention (1/2): CEO Olivier Roussy Newton owns 30.7% of shares (~$232M), signaling founder commitment [2]. High-profile hires of Radical Semiconductor founders and cryptography advisory board add talent credibility. Insider Buying (0/2): CEO ownership is high but no reported additional insider buying; company is still raising capital to fund operations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quantum pure-play with TTM revenue of only $404K and Q3 2025 net loss of -C$9.02M [1]. No meaningful P/E, ROE, or profit margin (all negative). Market cap of ~$336M on 141.3M shares outstanding at $2.66 [4]. No dividend and relies on equity raises to fund operations. Liquidity floor cleared: ~2M avg daily volume x $2.66 = ~$5.3M daily liquidity, well above the $1M threshold [4]. However, Infrastructure scoring mechanically reflects negative margins, no revenue base, and no earnings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BTQ is a mission-driven, founder-led pre-revenue company with a credible just cause (securing networks against the quantum threat) and strong technical leadership. But infinite-game play requires survival, and BTQ's cash burn and dependence on equity funding create a finite-runway risk that tempers its long-horizon credibility.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Protecting mission-critical networks from the emerging quantum threat is a clear, enduring, human-centric just cause [2]. NIST PQC standardization and the partnership with KEPCO (Korea's grid operator) via Keypair ground the cause in real-world critical-infrastructure impact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Roussy Newton has assembled an elite cryptography and silicon team (Radical Semiconductor founders Hackett and Belateche, Anne Reinders as Head of Cryptography, expanded scientific advisory board) [2]. Lack of Glassdoor data for BTQ Technologies specifically limits visibility into broader culture.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BTQ acknowledges the quantum-computing threat itself as the worthy rival and partners with Hon Hai Research Institute and NIST-standard bodies rather than purely competing [2]. Rival PQC vendors (SandboxAQ, PQShield, IBM) are named in the competitive landscape.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Recent pivots into neutral-atom quantum computing (QPerfect), hardware-rooted security IP via Keypair investment, and Bitcoin Quantum show willingness to extend the platform beyond pure PQC software [2]. Execution risk remains given the breadth of pillars versus limited revenue.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Attempting to standardize quantum-safe Bitcoin and deploy PQC for Korean national infrastructure is bold, but the company is still operating at cash-burning scale with minimal revenue validation, which constrains leadership credibility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BTQ Technologies is a pure-play post-quantum cryptography (PQC) and quantum security infrastructure company. It develops hardware and software to protect blockchain, finance, defense, telecom, AI, and IoT networks from the quantum threat, via four commercial pillars: QCIM, QPerfect, QSSN, and Bitcoin Quantum [2]. The March 2026 BIP 360 quantum-resistant Bitcoin testnet implementation, Keypair investment to co-develop hardware-rooted PQC for Korea's KEPCO, and partnership with Hon Hai Research Institute anchor a credible TAM as NIST PQC standards roll out globally [2]. Founder-CEO Olivier Roussy Newton owns ~30.7% of shares, aligning leadership with long-term outcomes [2]. AI resilience is high — the product is infrastructure that the AI/quantum era structurally requires.</w:t>
      </w:r>
    </w:p>
    <w:p>
      <w:pPr>
        <w:spacing w:after="120"/>
      </w:pPr>
      <w:r>
        <w:rPr>
          <w:rFonts w:ascii="Calibri" w:hAnsi="Calibri"/>
          <w:b w:val="0"/>
          <w:color w:val="3A4A28"/>
          <w:sz w:val="20"/>
        </w:rPr>
        <w:t>This is a venture-stage equity, not a fundamentally valued security. TTM revenue is just $404K and Q3 2025 net income was -C$9.02M with zero reported quarterly revenue, meaning the $336M market cap is a pure pre-commercial option on PQC category creation [1][4]. Cash runway, share dilution, and execution speed against well-funded rivals (SandboxAQ, PQShield, IBM) are the critical risks. The company has multiple pillars (QCIM hardware, QPerfect neutral-atom quantum computer, Bitcoin Quantum, KEPCO AMI) which diversifies optionality but also strains focus for a ~50-person team. Investors should size this as a speculative position. Recommendation is WATCH until commercial revenue inflects or a major customer concentration milestone is announced.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ramp of QCIM hardware and KEPCO AMI deployment via the Keypair investment, which would be BTQ's first critical-infrastructure revenue [2]</w:t>
      </w:r>
    </w:p>
    <w:p>
      <w:pPr>
        <w:spacing w:before="40" w:after="40"/>
        <w:ind w:left="283"/>
      </w:pPr>
      <w:r>
        <w:rPr>
          <w:rFonts w:ascii="Calibri" w:hAnsi="Calibri"/>
          <w:b/>
          <w:color w:val="4A6B25"/>
          <w:sz w:val="20"/>
        </w:rPr>
        <w:t xml:space="preserve">2. </w:t>
      </w:r>
      <w:r>
        <w:rPr>
          <w:rFonts w:ascii="Calibri" w:hAnsi="Calibri"/>
          <w:b w:val="0"/>
          <w:color w:val="3A4A28"/>
          <w:sz w:val="20"/>
        </w:rPr>
        <w:t>Adoption path for BIP 360 quantum-safe Bitcoin transactions following the March 2026 testnet implementation [2]</w:t>
      </w:r>
    </w:p>
    <w:p>
      <w:pPr>
        <w:spacing w:before="40" w:after="40"/>
        <w:ind w:left="283"/>
      </w:pPr>
      <w:r>
        <w:rPr>
          <w:rFonts w:ascii="Calibri" w:hAnsi="Calibri"/>
          <w:b/>
          <w:color w:val="4A6B25"/>
          <w:sz w:val="20"/>
        </w:rPr>
        <w:t xml:space="preserve">3. </w:t>
      </w:r>
      <w:r>
        <w:rPr>
          <w:rFonts w:ascii="Calibri" w:hAnsi="Calibri"/>
          <w:b w:val="0"/>
          <w:color w:val="3A4A28"/>
          <w:sz w:val="20"/>
        </w:rPr>
        <w:t>Broader NIST PQC standardization uptake driving hardware security module demand from finance, defense, and AI infrastructure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Pre-commercial revenue base: TTM revenue of $404K and Q3 2025 net loss of -C$9.02M mean cash burn and equity dilution risk are elevated [1]</w:t>
      </w:r>
    </w:p>
    <w:p>
      <w:pPr>
        <w:spacing w:before="40" w:after="40"/>
        <w:ind w:left="283"/>
      </w:pPr>
      <w:r>
        <w:rPr>
          <w:rFonts w:ascii="Calibri" w:hAnsi="Calibri"/>
          <w:b/>
          <w:color w:val="4A6B25"/>
          <w:sz w:val="20"/>
        </w:rPr>
        <w:t xml:space="preserve">2. </w:t>
      </w:r>
      <w:r>
        <w:rPr>
          <w:rFonts w:ascii="Calibri" w:hAnsi="Calibri"/>
          <w:b w:val="0"/>
          <w:color w:val="3A4A28"/>
          <w:sz w:val="20"/>
        </w:rPr>
        <w:t>Competitive PQC landscape: SandboxAQ, PQShield, IBM, and hyperscaler-native PQC libraries could compress BTQ's share of the eventual TAM [2]</w:t>
      </w:r>
    </w:p>
    <w:p>
      <w:pPr>
        <w:spacing w:before="40" w:after="40"/>
        <w:ind w:left="283"/>
      </w:pPr>
      <w:r>
        <w:rPr>
          <w:rFonts w:ascii="Calibri" w:hAnsi="Calibri"/>
          <w:b/>
          <w:color w:val="4A6B25"/>
          <w:sz w:val="20"/>
        </w:rPr>
        <w:t xml:space="preserve">3. </w:t>
      </w:r>
      <w:r>
        <w:rPr>
          <w:rFonts w:ascii="Calibri" w:hAnsi="Calibri"/>
          <w:b w:val="0"/>
          <w:color w:val="3A4A28"/>
          <w:sz w:val="20"/>
        </w:rPr>
        <w:t>Multi-pillar execution risk: QCIM, QPerfect, QSSN, and Bitcoin Quantum stretch a ~50-person team across silicon, neutral-atom quantum computing, networking, and blockchain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BTQ is an AI enabler, not a target. Its post-quantum cryptography and hardware security modules are designed specifically to protect the AI, IoT, finance, and defense infrastructure stack from quantum and AI-era threats [2]. As AI workloads scale and quantum computing matures, demand for PQC hardware is structurally rising; NIST PQC standardization and BIP 360 Bitcoin adoption validate the direction [2]. The company does not sell a product that generative AI can easily commoditize. AI Opportunity (1/1): Explicit positioning as infrastructure for 'AI, IoT, and critical infrastructure' means AI proliferation directly grows BTQ's addressable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BTQ Technologies Q3 2025 results and TTM revenue of $404K (Yahoo Finance, Nasdaq, TradingView)</w:t>
      </w:r>
    </w:p>
    <w:p>
      <w:pPr>
        <w:spacing w:before="20" w:after="20"/>
        <w:ind w:left="170"/>
      </w:pPr>
      <w:r>
        <w:rPr>
          <w:rFonts w:ascii="Calibri" w:hAnsi="Calibri"/>
          <w:b/>
          <w:color w:val="4A6B25"/>
          <w:sz w:val="15"/>
        </w:rPr>
        <w:t xml:space="preserve">2. </w:t>
      </w:r>
      <w:r>
        <w:rPr>
          <w:rFonts w:ascii="Calibri" w:hAnsi="Calibri"/>
          <w:b w:val="0"/>
          <w:color w:val="3A4A28"/>
          <w:sz w:val="17"/>
        </w:rPr>
        <w:t>BTQ 2025 corporate update: QCIM, QPerfect, QSSN, Bitcoin Quantum; Keypair/KEPCO partnership; Radical Semiconductor hires; Hon Hai collaboration; BIP 360 Bitcoin testnet (PRNewswire, Quantum Insider, quantumzeitgeist, btq.com)</w:t>
      </w:r>
    </w:p>
    <w:p>
      <w:pPr>
        <w:spacing w:before="20" w:after="20"/>
        <w:ind w:left="170"/>
      </w:pPr>
      <w:r>
        <w:rPr>
          <w:rFonts w:ascii="Calibri" w:hAnsi="Calibri"/>
          <w:b/>
          <w:color w:val="4A6B25"/>
          <w:sz w:val="15"/>
        </w:rPr>
        <w:t xml:space="preserve">3. </w:t>
      </w:r>
      <w:r>
        <w:rPr>
          <w:rFonts w:ascii="Calibri" w:hAnsi="Calibri"/>
          <w:b w:val="0"/>
          <w:color w:val="3A4A28"/>
          <w:sz w:val="17"/>
        </w:rPr>
        <w:t>BTQ Technologies Sustainalytics/ESG coverage (limited disclosure given pre-commercial stage)</w:t>
      </w:r>
    </w:p>
    <w:p>
      <w:pPr>
        <w:spacing w:before="20" w:after="20"/>
        <w:ind w:left="170"/>
      </w:pPr>
      <w:r>
        <w:rPr>
          <w:rFonts w:ascii="Calibri" w:hAnsi="Calibri"/>
          <w:b/>
          <w:color w:val="4A6B25"/>
          <w:sz w:val="15"/>
        </w:rPr>
        <w:t xml:space="preserve">4. </w:t>
      </w:r>
      <w:r>
        <w:rPr>
          <w:rFonts w:ascii="Calibri" w:hAnsi="Calibri"/>
          <w:b w:val="0"/>
          <w:color w:val="3A4A28"/>
          <w:sz w:val="17"/>
        </w:rPr>
        <w:t>BTQ stock price, shares outstanding (~141.3M), and average daily volume (~2M) as of April 2026 (Stocktitan, Stockanalysis, Yahoo Finance)</w:t>
      </w:r>
    </w:p>
    <w:p>
      <w:pPr>
        <w:spacing w:before="20" w:after="20"/>
        <w:ind w:left="170"/>
      </w:pPr>
      <w:r>
        <w:rPr>
          <w:rFonts w:ascii="Calibri" w:hAnsi="Calibri"/>
          <w:b/>
          <w:color w:val="4A6B25"/>
          <w:sz w:val="15"/>
        </w:rPr>
        <w:t xml:space="preserve">5. </w:t>
      </w:r>
      <w:r>
        <w:rPr>
          <w:rFonts w:ascii="Calibri" w:hAnsi="Calibri"/>
          <w:b w:val="0"/>
          <w:color w:val="3A4A28"/>
          <w:sz w:val="17"/>
        </w:rPr>
        <w:t>Inspire Insight faith alignment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