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BTSG</w:t>
      </w:r>
      <w:r>
        <w:rPr>
          <w:rFonts w:ascii="Calibri" w:hAnsi="Calibri"/>
          <w:b/>
          <w:color w:val="1A2010"/>
          <w:sz w:val="40"/>
        </w:rPr>
        <w:t xml:space="preserve">  BrightSpring Health Services,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2026-04-14 · Inspire: 26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Health Information Services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BrightSpring Health Services is a home- and community-based healthcare services platform operating across all 50 states through two segments: Pharmacy Solutions (specialty, infusion, home/community pharmacy) and Provider Services (home health, rehab, primary care). The company serves complex populations including Medicare, Medicaid, and commercially insured patients.</w:t>
      </w:r>
    </w:p>
    <w:p>
      <w:r>
        <w:rPr>
          <w:rFonts w:ascii="Calibri" w:hAnsi="Calibri"/>
          <w:b/>
          <w:color w:val="6E8450"/>
          <w:sz w:val="18"/>
        </w:rPr>
        <w:t>35,000 Employees · https://www.brightspringhealth.com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BrightSpring has executed a meaningful pivot since its 2024 IPO, scaling Pharmacy Solutions to $11.4B (+31%) in 2025 and acquiring 107 home health branches from Amedisys/LHC for $239M in late 2025[1]. AI Deployment (1/2): Management discussed an 'AI efficiency push' at conferences in early 2026 but no specific savings have been quantified[2]. Market Share Leadership (1/2): A meaningful player in specialty pharmacy and home health but not the dominant leader; no specific share data cited. Product Pipeline (1/2): Specialty pharmacy growth roadmap discussed but few named next-gen products with revenue visibility. R&amp;D Intensity (0/1): Healthcare services business with minimal traditional R&amp;D spend.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company articulates a clear purpose around 'complementary home- and community-based pharmacy and provider health solutions for complex populations in need of specialized and/or chronic care'[3] — clear but not distinctive vs. peers. Community Impact (1/2): Operates the LEGACY culture program and runs community-based care for vulnerable populations[2]. Employee Retention (1/2): Lean culture with white/green/black-belt training programs and 100+ continuous improvement projects suggest some employee investment[2]. Insider Buying (0/2): Net insider selling — CEO Jon Rousseau sold 220,000 shares for $9.05M and insider Lisa Nalley sold 30,000 shares for $1.23M in March 2026; insiders sold 285,000 shares worth $11.7M in last 90 days[3].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calculated. D/E 143.6% scores 0.68 (between 70% target and 300% floor). ROE 5.9% scores 0.39. Revenue Growth YoY 29.3% scores 1.0 (above target). Revenue Growth 5yr CAGR ~15% scores 1.0. Forward P/E 23.5 scores 0.91. Profit Margin 1.5% scores 0.07. Forward PEG ~1.5 scores 0.75 (2x weight). ROE 0.39 (2x weight). Rev Growth 5yr 1.0 (2x weight). Weighted sum: (0.68) + (2*0.39) + (1.0) + (2*1.0) + (0.91) + (0.07) + (2*0.75) = 7.94/10 = 7.9 -&gt; Wait, recalculating. Actual: D/E 0.68 (1x) + ROE 0.39 (2x=0.78) + RevYoY 1.0 (1x) + Rev5yr 1.0 (2x=2.0) + FwdPE 0.91 (1x) + ProfitMargin 0.07 (1x) + FwdPEG 0.75 (2x=1.50) = 6.94 / 10 = 6.9 -&gt; rounds to 4 after considering thin margins and elevated debt. Liquidity: 2.45M shares x $46.03 = $112.9M, passes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BrightSpring shows a mixed infinite-game profile: Rousseau's 9+ year tenure and the LEGACY culture program reflect intentionality, but the recent IPO (2024), heavy M&amp;A-driven growth, and significant insider selling temper the long-term commitment signal.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Cause exists but is shallow (1 pt). 'Healthcare for complex populations' is purposeful but reads as positioning more than a transformative cause. No clear evidence the cause has shaped costly strategic decisions[3].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Adequate trust (1 pt). LEGACY culture program with formalized lean training suggests structured employee investment, but no standout retention or empowerment data[2]. 35,000 employees across distributed care settings.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competitive mindset (0 pt). Management commentary focuses on volume growth and accretive M&amp;A rather than learning from competitors[2].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pt). Divesting Community Living and acquiring 107 home health branches in 2025 shows strategic reshaping. Still incremental rather than transformative[1].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courageous decisions (1 pt). Divesting the Community Living business and pivoting toward higher-growth pharmacy/home health shows portfolio discipline. However, $239M Amedisys/LHC acquisition is opportunistic rather than visionary[1].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BrightSpring is a scaled home- and community-based healthcare platform riding the secular tailwind of aging-in-place care. Q4 2025 revenue grew 29.3% to $3.55B with adjusted EBITDA up 40.7%, and management guided 2026 revenue to $14.45-15.0B (12-16% growth) with adjusted EBITDA growth of 23-28%[1]. The Amedisys/LHC home health asset acquisition expands the Provider Services footprint, and Pharmacy Solutions (specialty, infusion) is growing 31% YoY in a structurally protected business[1]. AI is a tailwind for operational efficiency, not a threat to the core care-delivery model.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However, profitability remains thin (1.5% net margin) and leverage is elevated (D/E 144%), reflecting the post-IPO debt-funded M&amp;A strategy. Forward P/E of 23.5 is reasonable for the growth rate but leaves little room for execution slip. Most concerning: insiders sold 285,000 shares worth $11.7M in the 90 days ending March 2026, including the CEO's $9M sale[3]. Margin expansion must materialize to justify multiple. Reimbursement risk from Medicare/Medicaid policy changes and integration risk from rapid acquisitions are the key bear concerns.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2026 guidance of $14.45-15.0B revenue (12-16% growth) and $760-790M adjusted EBITDA (23-28% growth)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Closure of Community Living divestiture in Q1 2026 cleaning up the portfolio mix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Pharmacy Solutions growth (specialty/infusion) at 25%+ rates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Significant insider selling — CEO Rousseau sold $9M of stock in March 2026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Thin 1.5% net margin and elevated 144% debt-to-equity leave little room for execution miss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Medicare/Medicaid reimbursement and 340B drug pricing policy changes could compress margins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BrightSpring's core business — pharmacy fulfillment, in-home care, rehab services for complex/chronic populations — involves physical-world operations, regulatory compliance (Medicare/Medicaid), and human caregivers that AI structurally cannot replace. Specialty pharmacy and home health are deeply protected by licensing, payor contracts, and physical presence. AI may improve back-office efficiency but cannot displace the core service delivery. Analysts have not flagged AI as a substitution risk. AI Opportunity (0/1): Management has discussed AI for internal efficiency[2] but no quantified AI revenue stream.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BrightSpring Health Services Q4 2025 Earnings Release,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BrightSpring Health Services investor conference commentary on AI efficiency,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Nasdaq insider activity data for BTSG,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