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BTTC</w:t>
      </w:r>
      <w:r>
        <w:rPr>
          <w:rFonts w:ascii="Calibri" w:hAnsi="Calibri"/>
          <w:b/>
          <w:color w:val="1A2010"/>
          <w:sz w:val="40"/>
        </w:rPr>
        <w:t xml:space="preserve">  Black Titan Corporation</w:t>
      </w:r>
    </w:p>
    <w:p>
      <w:pPr>
        <w:spacing w:after="120"/>
      </w:pPr>
      <w:r>
        <w:rPr>
          <w:rFonts w:ascii="Calibri" w:hAnsi="Calibri"/>
          <w:b/>
          <w:color w:val="6E8450"/>
          <w:sz w:val="18"/>
        </w:rPr>
        <w:t>GROWTH SLEEVE · 2026-04-29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Blockchain &amp; Digital Assets · NASDAQ</w:t>
      </w:r>
    </w:p>
    <w:p>
      <w:pPr>
        <w:spacing w:after="80"/>
      </w:pPr>
      <w:r>
        <w:rPr>
          <w:rFonts w:ascii="Calibri" w:hAnsi="Calibri"/>
          <w:b w:val="0"/>
          <w:color w:val="3A4A28"/>
          <w:sz w:val="20"/>
        </w:rPr>
        <w:t>Black Titan Corporation is a nano-cap company that emerged from a merger with Titan Pharmaceuticals in October 2025. The company has pivoted from its pharmaceutical legacy into digital asset and blockchain strategy, deploying a 'Digital Asset Treasury Plus' (DAT+) framework to invest in stablecoin treasuries, institutional DeFi pools, and token acquisitions, funded by a $200M convertible note facility secured in January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Black Titan's merger with Titan Pharmaceuticals and subsequent pivot to crypto/DeFi does not represent genuine product innovation — it is a balance sheet transformation via financial engineering, swapping pharmaceutical assets for digital asset exposure [1]. No new products have been launched. AI Deployment (0/2): No AI-powered products or AI-driven efficiencies; the DAT+ framework is a conceptual investment methodology, not a technology platform [2]. Market Share Leadership (0/2): BTTC has no identifiable market share in any defined category — the company is a $13M market cap entity attempting to deploy a $200M convertible note into DeFi yield strategies without established competitive positioning [1]. Product Pipeline (1/2): The DAT+ multi-pillar framework (utility, governance, liquidity, earnings alignment, risk management, collaborative engagement) provides a structured approach to digital asset investment, though no specific products or revenue-generating deployments have been announced [1]. R&amp;D Intensity (1/1): The company appears to be investing meaningfully in building blockchain expertise relative to its minuscule revenue base, with dedicated leadership hires including Co-CEO Czhang Lin with Web3 expertise since 2017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Black Titan has no clearly articulated mission or purpose statement beyond generating returns through digital asset deployment. The company exists to provide 'institutional access via public equities' to DeFi yields — a financial engineering objective, not an inspiring vision [1]. Community &amp; Charitable Impact (0/2): No evidence of charitable programs, community investment, or social impact initiatives [3]. Employee Retention (0/2): No employee count available, no Glassdoor reviews found, and the recent leadership overhaul (Co-CEO appointment, merger transition) suggests organizational flux rather than stability [2]. Insider Buying (1/2): The Co-CEO appointment and merger structure suggest some insider alignment with the digital asset strategy, though specific insider purchasing data is not available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54,714 shares at $1.30 produces daily dollar volume of approximately $71,128, well below the $1,000,000 liquidity threshold required by IOWN screening criteria [1]. Infrastructure score is automatically set to 0 regardless of other metrics. For context, BTTC is a $13M market cap company with minimal traditional revenue ($2.7M TTM), negative net income (-$163K TTM), no disclosed debt or equity figures, and a 52-week range of $1.21–$39.00 reflecting extreme speculative volatility [1]. The $200M convertible note facility, if fully drawn, would create massive dilution relative to the current $13M equity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Black Titan exhibits a quintessentially finite game orientation. The company's pivot from pharmaceuticals to crypto/DeFi yield farming is driven by the desire to capture short-term arbitrage between DeFi yields (8-12%) and cost of capital (3-5%), not by a durable vision of a better future. The organizational instability, speculative business model, and absence of a Just Cause place this firmly in Sinek's finite category [1][2].</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Black Titan has no Just Cause. The company's stated strategy is to generate net interest margin by deploying convertible note proceeds into DeFi yield pools — a pure financial arbitrage play. There is no articulated vision of a better future, no stakeholder benefit beyond investor returns, and no purpose that could endure beyond the current crypto market cycle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emerged from a merger just six months ago (October 2025), appointed a Co-CEO in December 2025, and has no disclosed employee count or organizational structure. The rapid leadership changes, undefined corporate culture, and merger-related transition create an inherently unstable organizational environment where trust cannot yet have been established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Black Titan does not acknowledge or reference competitors in its public communications. The DAT+ framework is presented as a unique institutional approach to DeFi, with no competitive benchmarking or acknowledgment of other public companies pursuing similar digital asset treasury strategies (e.g., MicroStrategy, Semler Scientific)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Titan Pharmaceuticals' failed drug development business to a digital asset treasury strategy represents a complete business model reinvention. However, this pivot was driven by desperation (Titan's pharmaceutical pipeline had largely failed) rather than by a Just Cause demanding strategic evolution — it is existential flexibility born from necessity, not vision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$200M convertible note facility is not an investment in long-term capability — it is a leveraged bet on DeFi yield spreads that prioritizes near-term returns over sustainable value creation. The 52-week price range of $1.21–$39.00 reflects speculative momentum, not disciplined leadership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 Titan Corporation offers speculative exposure to institutional DeFi yield strategies through its DAT+ framework, backed by a $200M convertible note facility secured in January 2026. The company aims to capture net interest margin by deploying stablecoin treasuries into institutional DeFi pools yielding 8-12% against a quoted cost of capital of 3-5% [1]. The Co-CEO structure with Czhang Lin (Web3 expertise since 2017) and CEO Chay W.J. provides some blockchain industry knowledge [2].</w:t>
      </w:r>
    </w:p>
    <w:p>
      <w:pPr>
        <w:spacing w:after="120"/>
      </w:pPr>
      <w:r>
        <w:rPr>
          <w:rFonts w:ascii="Calibri" w:hAnsi="Calibri"/>
          <w:b w:val="0"/>
          <w:color w:val="3A4A28"/>
          <w:sz w:val="20"/>
        </w:rPr>
        <w:t>The bear case is overwhelming. BTTC is a $13M market cap nano-cap with daily dollar volume under $72,000 — effectively untradeable for institutional investors. The $200M convertible note facility represents potential dilution of 15x the current equity value if fully drawn and converted [1]. The business has no established revenue model, no competitive moat, and no track record in digital asset management. The 52-week price decline from $39.00 to $1.30 (97% drawdown) reflects the market's extreme skepticism. DeFi yield strategies carry smart contract risk, regulatory risk, and crypto market risk that could result in total loss of deployed capital. The former Titan Pharmaceuticals business generated only $2.7M in legacy revenue, providing no financial foundation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deployment of initial convertible note tranches into DeFi yield pools generating the target 8-12% returns could validate the DAT+ strategy and attract additional institutional interest</w:t>
      </w:r>
    </w:p>
    <w:p>
      <w:pPr>
        <w:spacing w:before="40" w:after="40"/>
        <w:ind w:left="283"/>
      </w:pPr>
      <w:r>
        <w:rPr>
          <w:rFonts w:ascii="Calibri" w:hAnsi="Calibri"/>
          <w:b/>
          <w:color w:val="4A6B25"/>
          <w:sz w:val="20"/>
        </w:rPr>
        <w:t xml:space="preserve">2. </w:t>
      </w:r>
      <w:r>
        <w:rPr>
          <w:rFonts w:ascii="Calibri" w:hAnsi="Calibri"/>
          <w:b w:val="0"/>
          <w:color w:val="3A4A28"/>
          <w:sz w:val="20"/>
        </w:rPr>
        <w:t>Potential regulatory clarity for institutional DeFi participation could reduce perceived risk and improve the company's strategic positioning</w:t>
      </w:r>
    </w:p>
    <w:p>
      <w:pPr>
        <w:spacing w:before="40" w:after="40"/>
        <w:ind w:left="283"/>
      </w:pPr>
      <w:r>
        <w:rPr>
          <w:rFonts w:ascii="Calibri" w:hAnsi="Calibri"/>
          <w:b/>
          <w:color w:val="4A6B25"/>
          <w:sz w:val="20"/>
        </w:rPr>
        <w:t xml:space="preserve">3. </w:t>
      </w:r>
      <w:r>
        <w:rPr>
          <w:rFonts w:ascii="Calibri" w:hAnsi="Calibri"/>
          <w:b w:val="0"/>
          <w:color w:val="3A4A28"/>
          <w:sz w:val="20"/>
        </w:rPr>
        <w:t>Establishment of recurring revenue from digital asset treasury operations would provide the first evidence of a viable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$200M convertible note facility could dilute existing shareholders by 15x or more at current market cap levels, effectively wiping out current equity holders if the stock price does not recover significantly</w:t>
      </w:r>
    </w:p>
    <w:p>
      <w:pPr>
        <w:spacing w:before="40" w:after="40"/>
        <w:ind w:left="283"/>
      </w:pPr>
      <w:r>
        <w:rPr>
          <w:rFonts w:ascii="Calibri" w:hAnsi="Calibri"/>
          <w:b/>
          <w:color w:val="4A6B25"/>
          <w:sz w:val="20"/>
        </w:rPr>
        <w:t xml:space="preserve">2. </w:t>
      </w:r>
      <w:r>
        <w:rPr>
          <w:rFonts w:ascii="Calibri" w:hAnsi="Calibri"/>
          <w:b w:val="0"/>
          <w:color w:val="3A4A28"/>
          <w:sz w:val="20"/>
        </w:rPr>
        <w:t>DeFi yield strategies carry catastrophic risk including smart contract exploits, stablecoin de-pegging events, and regulatory crackdowns that could result in total loss of deployed capital</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under $72,000 makes the stock effectively untradeable — the liquidity floor failure means any position cannot be exited without severe market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Black Titan's pivot to DeFi yield strategies and digital asset treasury management occupies an ambiguous position relative to AI disruption. The DAT+ framework's core activities — allocating stablecoin treasuries to institutional DeFi pools for yield generation — involve quantitative decision-making that AI and algorithmic trading systems are increasingly capable of performing, creating moderate substitution risk for the company's purported expertise [1]. However, the speculative nature of the business means AI disruption is not the primary risk — execution risk, regulatory risk, and crypto market volatility are far more material concerns [1]. AI Opportunity (1/1): DeFi protocols and digital asset management increasingly incorporate AI-driven analytics for yield optimization, risk assessment, and smart contract auditing, which could enhance BTTC's DAT+ strategy if properly deployed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 Titan Corporation press releases and DAT+ framework announcements, StockTitan,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Black Titan Corporation leadership and merger disclosures, Yahoo Finance and news reports,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BTTC key statistics and company profile,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