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BTU</w:t>
      </w:r>
      <w:r>
        <w:rPr>
          <w:rFonts w:ascii="Calibri" w:hAnsi="Calibri"/>
          <w:b/>
          <w:color w:val="1A2010"/>
          <w:sz w:val="40"/>
        </w:rPr>
        <w:t xml:space="preserve">  Peabody Energy Corporation</w:t>
      </w:r>
    </w:p>
    <w:p>
      <w:pPr>
        <w:spacing w:after="120"/>
      </w:pPr>
      <w:r>
        <w:rPr>
          <w:rFonts w:ascii="Calibri" w:hAnsi="Calibri"/>
          <w:b/>
          <w:color w:val="6E8450"/>
          <w:sz w:val="18"/>
        </w:rPr>
        <w:t>GROWTH SLEEVE · 2026-04-09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Thermal Coal · NYSE · United States</w:t>
      </w:r>
    </w:p>
    <w:p>
      <w:pPr>
        <w:spacing w:after="80"/>
      </w:pPr>
      <w:r>
        <w:rPr>
          <w:rFonts w:ascii="Calibri" w:hAnsi="Calibri"/>
          <w:b w:val="0"/>
          <w:color w:val="3A4A28"/>
          <w:sz w:val="20"/>
        </w:rPr>
        <w:t>Peabody Energy Corporation is the world's largest private-sector coal producer, operating mines in the U.S. (Wyoming, Alabama) and Australia (New South Wales, Queensland). The company produces both thermal coal for electricity generation and metallurgical coal for steelmaking, serving electric utilities, industrial facilities, and steel manufacturers through its Seaborne Thermal, Seaborne Metallurgical, Powder River Basin, and Other U.S. Thermal segments.</w:t>
      </w:r>
    </w:p>
    <w:p>
      <w:r>
        <w:rPr>
          <w:rFonts w:ascii="Calibri" w:hAnsi="Calibri"/>
          <w:b/>
          <w:color w:val="6E8450"/>
          <w:sz w:val="18"/>
        </w:rPr>
        <w:t>5,400 Employees · https://www.peabodyenergy.com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Peabody has not launched meaningful new products, entered adjacent markets, or pivoted its business model in the last five years — it remains a pure-play coal producer with the same operational footprint it had in 2021 [1]. The company went through bankruptcy in 2016 and has focused on debt reduction rather than innovation. AI Deployment (0/2): No evidence of AI deployment in mining operations, customer-facing products, or internal cost optimization programs. Peabody's operations remain conventionally managed with traditional mining equipment and processes [2]. Market Share (1/2): Peabody is the world's largest private-sector coal company, maintaining a meaningful position in both U.S. thermal coal (Powder River Basin) and Australian seaborne thermal and metallurgical coal markets [1]. Pipeline (0/2): No next-generation products, diversification strategy, or new market initiatives announced. The company's future is entirely dependent on coal demand, which is in secular decline for thermal applications [1]. R&amp;D Intensity (1/1): Peabody invests in mine safety technology and operational efficiency at levels appropriate for the mining industry, though this represents incremental improvement rather than breakthrough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Peabody's stated purpose is focused on safe, reliable coal production to power the world — a functional description of operations that is interchangeable with any mining company [3]. There is no articulated vision of a better future or purpose beyond resource extraction. Community Impact (1/2): Peabody employs 5,400 workers and supports mining communities in Wyoming, Alabama, and Australia, with general corporate responsibility programs [3]. However, the company's core business of coal mining creates significant environmental externalities that offset community investment. Employee Retention (1/2): Management tenure averages 5.6 years with CEO Jim Grech serving since 2021, suggesting organizational stability [2]. The succession plan extending Grech through 2028 with an advisory role through 2030 shows continuity. Insider Buying (0/2): No evidence of meaningful insider buying was found in the research period. The company has focused on share buybacks and dividends rather than insider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Peabody's financial profile reflects a cyclical commodity producer in a down cycle. Revenue declined 9% YoY to $3.86B in 2025, with a 3-year revenue CAGR of -8.1% from the $4.98B 2022 peak [1]. The company posted a net loss with EPS of -$0.43, though forward EPS estimates of $5.36 suggest recovery in 2026 [4]. D/E of 12.8% is exceptionally low, and forward P/E of 5.63x is deeply discounted. However, ROE is negative at -1.2%, profit margin is -1.4%, and revenue is shrinking. Infrastructure score calculated mechanically: D/E 12.8% (1.0), ROE -1.2% (0.0), Rev YoY -9.0% (0.37), Rev 5yr CAGR -8.1% (0.0), Fwd P/E 5.63 (1.0), Profit Margin -1.4% (0.0). Liquidity cleared: $104M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Peabody Energy plays a fundamentally finite game — optimizing extraction of a declining resource for maximum near-term cash generation. The company emerged from 2016 bankruptcy, has focused on debt reduction and shareholder returns, and has made no meaningful attempt to diversify beyond coal. CEO succession planning through 2030 provides operational continuity but does not address the existential question of what Peabody becomes as the world decarbonizes. Sinek would identify this as a company playing to win this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Peabody exists to mine and sell coal profitably. There is no articulated vision of a better future, no cause that inspires sacrifice, and no purpose beyond resource extraction for shareholder returns [3]. The company's mission is functional and finite — it does not address the world's energy transition or Peabody's role in it. This is a textbook finite-game player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Peabody's management team averages 5.6 years of tenure with stable board leadership (6.3 years average) [2]. The CEO succession plan extending through 2030 shows organizational stability. Mining operations require high-trust field teams for safety, and Peabody's emphasis on safety metrics suggests adequate trust within operational teams. However, the 2016 bankruptcy and subsequent restructuring likely created organizational trauma that limits deep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Peabody's competitive language focuses on market position and cost competitiveness rather than learning from rivals. The company competes with Arch Resources, Alpha Natural Resources, and global producers primarily on cost per ton and mine productivity — a finite competitive mindset focused on winning market share rather than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Peabody has not diversified beyond coal in any meaningful way. Despite the global energy transition, the company has not entered renewable energy, carbon capture, critical minerals, or any adjacent market [1]. This rigidity stands in stark contrast to peers like BHP and Rio Tinto who have diversified into copper, lithium, and other future-facing minerals. Peabody clings to its legacy business model as the world transitions away from coal.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have prioritized near-term shareholder returns (buybacks, dividends) over long-term capability building or strategic transformation [1][2]. No evidence of leadership sacrificing short-term results for long-term positioning — the company has not invested in diversification, alternative energy, or strategic pivots. The post-bankruptcy strategy has been exclusively about extracting maximum value from existing coal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Peabody Energy is a deep-value cyclical play on coal prices, trading at 5.6x forward earnings with minimal debt (D/E 12.8%) and $575M in cash against $460M in debt [4]. The company is the world's largest private-sector coal producer, with diversified exposure across U.S. thermal (Powder River Basin), U.S. metallurgical (Alabama), and Australian seaborne thermal and metallurgical markets [1]. Forward EPS of $5.36 (vs. trailing -$0.43) implies a significant earnings recovery in 2026, and much of the expected 2026 Powder River Basin output is already under contract [1]. Metallurgical coal provides structural demand from steelmaking that persists regardless of energy transition timelines, and AI-driven electricity demand growth could extend thermal coal plant lifetimes beyond current retirement schedules.</w:t>
      </w:r>
    </w:p>
    <w:p>
      <w:pPr>
        <w:spacing w:after="120"/>
      </w:pPr>
      <w:r>
        <w:rPr>
          <w:rFonts w:ascii="Calibri" w:hAnsi="Calibri"/>
          <w:b w:val="0"/>
          <w:color w:val="3A4A28"/>
          <w:sz w:val="20"/>
        </w:rPr>
        <w:t>The bear case is existential. Coal is in secular decline globally — thermal coal demand faces structural headwinds from renewable energy adoption, carbon regulations, and utility coal plant retirements [3]. Revenue has declined from $4.98B in 2022 to $3.86B in 2025, a 22% contraction in three years, with negative profit margins and ROE [4]. The company's ESG profile is among the worst of any publicly traded company (Ethos ESG score of F/0.0, bottom 10% globally), which limits institutional investor participation and raises cost of capital [3]. A securities lawsuit over safety disclosure practices at an Australian mine highlights operational governance risks. Peabody has made zero progress on diversification beyond coal, leaving the company entirely dependent on a commodity in structural decline. The 0.99% dividend yield with only 3 years of payment history provides minimal income cushion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of $5.36 implies substantial earnings recovery in 2026 from the -$0.43 trailing loss, driven by contracted Powder River Basin volumes and potential coal price stabilization [1][4]</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boom extending U.S. coal plant operating lifetimes beyond previously planned retirement dates, sustaining thermal coal demand [1]</w:t>
      </w:r>
    </w:p>
    <w:p>
      <w:pPr>
        <w:spacing w:before="40" w:after="40"/>
        <w:ind w:left="283"/>
      </w:pPr>
      <w:r>
        <w:rPr>
          <w:rFonts w:ascii="Calibri" w:hAnsi="Calibri"/>
          <w:b/>
          <w:color w:val="4A6B25"/>
          <w:sz w:val="20"/>
        </w:rPr>
        <w:t xml:space="preserve">3. </w:t>
      </w:r>
      <w:r>
        <w:rPr>
          <w:rFonts w:ascii="Calibri" w:hAnsi="Calibri"/>
          <w:b w:val="0"/>
          <w:color w:val="3A4A28"/>
          <w:sz w:val="20"/>
        </w:rPr>
        <w:t>Metallurgical coal demand resilience from global steel production, providing a structural floor for Peabody's Australian seaborne operations regardless of energy transition 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coal demand decline — renewable energy cost reductions, carbon regulations, and utility plant retirements create long-term volume erosion that no management action can reverse [3]</w:t>
      </w:r>
    </w:p>
    <w:p>
      <w:pPr>
        <w:spacing w:before="40" w:after="40"/>
        <w:ind w:left="283"/>
      </w:pPr>
      <w:r>
        <w:rPr>
          <w:rFonts w:ascii="Calibri" w:hAnsi="Calibri"/>
          <w:b/>
          <w:color w:val="4A6B25"/>
          <w:sz w:val="20"/>
        </w:rPr>
        <w:t xml:space="preserve">2. </w:t>
      </w:r>
      <w:r>
        <w:rPr>
          <w:rFonts w:ascii="Calibri" w:hAnsi="Calibri"/>
          <w:b w:val="0"/>
          <w:color w:val="3A4A28"/>
          <w:sz w:val="20"/>
        </w:rPr>
        <w:t>Near-uninvestable ESG profile (Ethos F rating, bottom 10% globally) limits institutional capital access and may drive further multiple compression as ESG mandates tighten [3]</w:t>
      </w:r>
    </w:p>
    <w:p>
      <w:pPr>
        <w:spacing w:before="40" w:after="40"/>
        <w:ind w:left="283"/>
      </w:pPr>
      <w:r>
        <w:rPr>
          <w:rFonts w:ascii="Calibri" w:hAnsi="Calibri"/>
          <w:b/>
          <w:color w:val="4A6B25"/>
          <w:sz w:val="20"/>
        </w:rPr>
        <w:t xml:space="preserve">3. </w:t>
      </w:r>
      <w:r>
        <w:rPr>
          <w:rFonts w:ascii="Calibri" w:hAnsi="Calibri"/>
          <w:b w:val="0"/>
          <w:color w:val="3A4A28"/>
          <w:sz w:val="20"/>
        </w:rPr>
        <w:t>Commodity price cyclicality — revenue has declined 22% from 2022 peak, and coal prices could fall further on oversupply, Chinese import policy changes, or accelerated global decarbonization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Coal mining is a physical-world extraction business that AI structurally cannot displace — it requires heavy machinery, geological expertise, blast engineering, and physical labor in underground and surface mines [1]. AI poses zero substitution risk to Peabody's core operations. Furthermore, AI data centers consume enormous amounts of electricity, and coal remains a significant baseload power source, meaning AI expansion indirectly increases electricity demand that coal helps serve in the near term. Metallurgical coal for steelmaking is even more immune — there is no AI substitute for the chemical process of coking coal in blast furnaces [1]. AI Opportunity (1/1): While Peabody does not sell AI products, the company can deploy AI for mine safety optimization, predictive maintenance of heavy equipment, and operational efficiency gains. The broader AI-driven electricity demand boom creates a modest tailwind for thermal coal demand in regions where coal plants remain operational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Peabody Energy Q4 2025 Earnings — $3.86B annual revenue (-9% YoY), -$0.43 EPS, forward estimates $5.36, February 2026</w:t>
      </w:r>
    </w:p>
    <w:p>
      <w:pPr>
        <w:spacing w:before="20" w:after="20"/>
        <w:ind w:left="170"/>
      </w:pPr>
      <w:r>
        <w:rPr>
          <w:rFonts w:ascii="Calibri" w:hAnsi="Calibri"/>
          <w:b/>
          <w:color w:val="4A6B25"/>
          <w:sz w:val="15"/>
        </w:rPr>
        <w:t xml:space="preserve">2. </w:t>
      </w:r>
      <w:r>
        <w:rPr>
          <w:rFonts w:ascii="Calibri" w:hAnsi="Calibri"/>
          <w:b w:val="0"/>
          <w:color w:val="3A4A28"/>
          <w:sz w:val="17"/>
        </w:rPr>
        <w:t>Peabody Energy CEO succession plan and leadership team — Jim Grech extended through 2028, advisory through 2030, 2025-2026</w:t>
      </w:r>
    </w:p>
    <w:p>
      <w:pPr>
        <w:spacing w:before="20" w:after="20"/>
        <w:ind w:left="170"/>
      </w:pPr>
      <w:r>
        <w:rPr>
          <w:rFonts w:ascii="Calibri" w:hAnsi="Calibri"/>
          <w:b/>
          <w:color w:val="4A6B25"/>
          <w:sz w:val="15"/>
        </w:rPr>
        <w:t xml:space="preserve">3. </w:t>
      </w:r>
      <w:r>
        <w:rPr>
          <w:rFonts w:ascii="Calibri" w:hAnsi="Calibri"/>
          <w:b w:val="0"/>
          <w:color w:val="3A4A28"/>
          <w:sz w:val="17"/>
        </w:rPr>
        <w:t>Peabody Energy 2024 ESG Report and Ethos ESG rating (F/0.0) — safety litigation, environmental controversies, coal industry ESG challenges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BTU (Peabody Energy),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