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BULL</w:t>
      </w:r>
      <w:r>
        <w:rPr>
          <w:rFonts w:ascii="Calibri" w:hAnsi="Calibri"/>
          <w:b/>
          <w:color w:val="1A2010"/>
          <w:sz w:val="40"/>
        </w:rPr>
        <w:t xml:space="preserve">  Webull Corporation</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Webull Corporation operates a digital investment platform enabling self-directed retail investors to trade equities, options, ETFs, and cryptocurrencies across 15+ countries. Founded in 2016 and headquartered in Saint Petersburg, Florida, the company went public via SPAC merger in April 2025 and serves over 25 million registered users globally.</w:t>
      </w:r>
    </w:p>
    <w:p>
      <w:r>
        <w:rPr>
          <w:rFonts w:ascii="Calibri" w:hAnsi="Calibri"/>
          <w:b/>
          <w:color w:val="6E8450"/>
          <w:sz w:val="18"/>
        </w:rPr>
        <w:t>https://www.webullcorp.com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Webull has differentiated itself through a feature-rich mobile trading platform with free real-time data, advanced charting, and comprehensive analytical tools that rival established brokerages [1]. The launch of 'Vega,' an AI-powered decision partner, demonstrates commitment to AI-driven innovation in retail investing [2]. Zero-fee crypto trading expansion into Australia, Brazil, and Latin America shows aggressive product innovation. However, the core brokerage model (payment for order flow, margin lending) is not fundamentally innovative.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Webull's mission to democratize investing — making 'key trading features completely free' — resonates with retail investors, and the platform's 50M+ downloads demonstrate consumer pull [1]. President Anthony Denier has positioned the company as a fintech innovator under the more permissive SEC regulatory environment [2]. However, founder Wang Anquan's 80%+ voting control raises governance concerns, and the state attorney general probe into CCP-linked privacy issues creates reputational headwinds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Webull shows improving financial metrics with Q4 2025 revenue of $165.2M (beating forecasts by 9.5%) and annual revenue of $513.5M (up 41% YoY), though the company barely turned profitable with a 4.3% profit margin and 3.0% ROE [1]. The very low D/E of 7.6% and forward P/E of 17.7x provide balance sheet safety and reasonable valuation. Customer assets surged 81% YoY to $24.6B, validating the platform's growth trajectory. The stock's decline from a $62.90 SPAC-day high to $5.05 reflects post-SPAC normalization typical of the asset class.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Webull demonstrates finite-game urgency typical of growth-stage fintechs: aggressive global expansion, SPAC-driven public listing, and feature proliferation to capture market share. While the mission of democratizing investing has infinite-game qualities, the founder's 80%+ voting control, CCP-linked governance concerns, and the SPAC vehicle choice suggest prioritization of speed and control over long-term stakeholder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Webull's mission to provide equal opportunity for financial self-direction through free trading tools and comprehensive market data represents a genuine democratization ethos [1]. The global expansion to 15+ countries extends this mission internationally. However, the reliance on payment for order flow and margin lending revenue creates tension between the stated mission and the economic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R&amp;D team based in China (60% of employees per prospectus filings) creates a structurally complex trust dynamic, particularly given the state AG probe into CCP-linked privacy concerns [3]. Founder Wang Anquan's 80%+ voting control limits the influence of public shareholders and the board, concentrating power in ways that can undermine team-level trust and autonomy.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Webull competes directly with Robinhood, Interactive Brokers, Schwab, and Fidelity, and has learned from Robinhood's missteps (gamification controversies, PFOF scrutiny) by positioning as a more tools-focused, serious-investor platform [2]. The zero-fee crypto trading expansion directly responds to competitive moves by Robinhood and Coinbase.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SPAC public listing and rapid global expansion demonstrate strategic agility, and the pivot from U.S.-focused to 15+ country operations shows willingness to redefine scope. However, the company's short public history provides limited evidence of navigating adversity or making difficult strategic pivots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President Denier's public embrace of the more permissive SEC environment and statement that 'boundaries are going to be tested' shows willingness to push regulatory limits [2]. However, this could also be viewed as opportunism rather than courageous leadership, particularly given the unresolved governance and data privacy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Webull offers an attractively valued fintech growth story at a forward P/E of 17.7x on 41% revenue growth, with customer assets surging 81% YoY to $24.6B and equity trading volume up 87% YoY to $239B [1]. The company's global expansion to 15+ countries and zero-fee crypto trading differentiate it from domestic-focused competitors, and the AI-powered 'Vega' tool positions the platform for next-generation investor engagement [2]. At $5.05 (down 92% from the SPAC-day high of $62.90), the stock offers significant recovery potential if the company executes on its growth trajectory and achieves profitability scale.</w:t>
      </w:r>
    </w:p>
    <w:p>
      <w:pPr>
        <w:spacing w:after="120"/>
      </w:pPr>
      <w:r>
        <w:rPr>
          <w:rFonts w:ascii="Calibri" w:hAnsi="Calibri"/>
          <w:b w:val="0"/>
          <w:color w:val="3A4A28"/>
          <w:sz w:val="20"/>
        </w:rPr>
        <w:t>The bear case is dominated by governance and geopolitical risk: founder Wang Anquan's 80%+ voting control and the China-based R&amp;D team (60% of employees) create dual-class governance concerns that limit shareholder influence [3]. The state attorney general probe into CCP-linked data privacy issues could escalate into regulatory action restricting operations. Financially, while revenue is growing rapidly, the 4.3% profit margin and 3.0% ROE suggest the company has not yet proven unit economics — payment for order flow faces ongoing regulatory scrutiny, and crypto trading revenue is highly cyclical. The 92% decline from the SPAC-day high reflects the market's skepticism about the $7.3B SPAC valuation, and the stock could face continued selling pressure from SPAC-related warrant exercises.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subscriber doubling in 2026 combined with AI tool monetization (Vega), potentially improving revenue per user and margin profile [2]</w:t>
      </w:r>
    </w:p>
    <w:p>
      <w:pPr>
        <w:spacing w:before="40" w:after="40"/>
        <w:ind w:left="283"/>
      </w:pPr>
      <w:r>
        <w:rPr>
          <w:rFonts w:ascii="Calibri" w:hAnsi="Calibri"/>
          <w:b/>
          <w:color w:val="4A6B25"/>
          <w:sz w:val="20"/>
        </w:rPr>
        <w:t xml:space="preserve">2. </w:t>
      </w:r>
      <w:r>
        <w:rPr>
          <w:rFonts w:ascii="Calibri" w:hAnsi="Calibri"/>
          <w:b w:val="0"/>
          <w:color w:val="3A4A28"/>
          <w:sz w:val="20"/>
        </w:rPr>
        <w:t>Continued global expansion into Brazil, Latin America, and Southeast Asia, targeting the massive underbanked retail investor population</w:t>
      </w:r>
    </w:p>
    <w:p>
      <w:pPr>
        <w:spacing w:before="40" w:after="40"/>
        <w:ind w:left="283"/>
      </w:pPr>
      <w:r>
        <w:rPr>
          <w:rFonts w:ascii="Calibri" w:hAnsi="Calibri"/>
          <w:b/>
          <w:color w:val="4A6B25"/>
          <w:sz w:val="20"/>
        </w:rPr>
        <w:t xml:space="preserve">3. </w:t>
      </w:r>
      <w:r>
        <w:rPr>
          <w:rFonts w:ascii="Calibri" w:hAnsi="Calibri"/>
          <w:b w:val="0"/>
          <w:color w:val="3A4A28"/>
          <w:sz w:val="20"/>
        </w:rPr>
        <w:t>Crypto trading revenue acceleration if digital asset prices appreciate, leveraging Webull's zero-fee competitive advantage in newly entered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CCP-governance concerns and state AG probe — escalation into CFIUS review or regulatory restrictions could fundamentally impair the U.S. business and force operational restructuring [3]</w:t>
      </w:r>
    </w:p>
    <w:p>
      <w:pPr>
        <w:spacing w:before="40" w:after="40"/>
        <w:ind w:left="283"/>
      </w:pPr>
      <w:r>
        <w:rPr>
          <w:rFonts w:ascii="Calibri" w:hAnsi="Calibri"/>
          <w:b/>
          <w:color w:val="4A6B25"/>
          <w:sz w:val="20"/>
        </w:rPr>
        <w:t xml:space="preserve">2. </w:t>
      </w:r>
      <w:r>
        <w:rPr>
          <w:rFonts w:ascii="Calibri" w:hAnsi="Calibri"/>
          <w:b w:val="0"/>
          <w:color w:val="3A4A28"/>
          <w:sz w:val="20"/>
        </w:rPr>
        <w:t>Payment for order flow regulatory risk — SEC scrutiny of PFOF practices could eliminate a significant revenue stream, requiring a business model pivot</w:t>
      </w:r>
    </w:p>
    <w:p>
      <w:pPr>
        <w:spacing w:before="40" w:after="40"/>
        <w:ind w:left="283"/>
      </w:pPr>
      <w:r>
        <w:rPr>
          <w:rFonts w:ascii="Calibri" w:hAnsi="Calibri"/>
          <w:b/>
          <w:color w:val="4A6B25"/>
          <w:sz w:val="20"/>
        </w:rPr>
        <w:t xml:space="preserve">3. </w:t>
      </w:r>
      <w:r>
        <w:rPr>
          <w:rFonts w:ascii="Calibri" w:hAnsi="Calibri"/>
          <w:b w:val="0"/>
          <w:color w:val="3A4A28"/>
          <w:sz w:val="20"/>
        </w:rPr>
        <w:t>Post-SPAC valuation overhang — warrant exercises and insider selling could create sustained selling pressure, and the company must demonstrate profitability improvement to justify even the reduced $2.6B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meaningful enabler for Webull's platform — the company's 'Vega' AI assistant helps retail investors navigate market complexity, and AI/ML powers algorithmic order routing, risk management, and personalized recommendations [2]. As a digital-native fintech, Webull is better positioned than legacy brokerages to integrate AI into its user experience. However, AI also lowers barriers for new fintech entrants, and established players like Schwab, Fidelity, and Robinhood are all deploying AI capabilities aggressively, creating competitive intensity.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Webull Q4 2025 Earnings and Full-Year 2025 Financial Results</w:t>
      </w:r>
    </w:p>
    <w:p>
      <w:pPr>
        <w:spacing w:before="20" w:after="20"/>
        <w:ind w:left="170"/>
      </w:pPr>
      <w:r>
        <w:rPr>
          <w:rFonts w:ascii="Calibri" w:hAnsi="Calibri"/>
          <w:b/>
          <w:color w:val="4A6B25"/>
          <w:sz w:val="15"/>
        </w:rPr>
        <w:t xml:space="preserve">2. </w:t>
      </w:r>
      <w:r>
        <w:rPr>
          <w:rFonts w:ascii="Calibri" w:hAnsi="Calibri"/>
          <w:b w:val="0"/>
          <w:color w:val="3A4A28"/>
          <w:sz w:val="17"/>
        </w:rPr>
        <w:t>Fortune — 'Trump's SEC will buoy aggressive innovation, Webull president says', June 2025; Webull AI and Vega Launch</w:t>
      </w:r>
    </w:p>
    <w:p>
      <w:pPr>
        <w:spacing w:before="20" w:after="20"/>
        <w:ind w:left="170"/>
      </w:pPr>
      <w:r>
        <w:rPr>
          <w:rFonts w:ascii="Calibri" w:hAnsi="Calibri"/>
          <w:b/>
          <w:color w:val="4A6B25"/>
          <w:sz w:val="15"/>
        </w:rPr>
        <w:t xml:space="preserve">3. </w:t>
      </w:r>
      <w:r>
        <w:rPr>
          <w:rFonts w:ascii="Calibri" w:hAnsi="Calibri"/>
          <w:b w:val="0"/>
          <w:color w:val="3A4A28"/>
          <w:sz w:val="17"/>
        </w:rPr>
        <w:t>State Attorney General Coalition probe into Webull CCP-linked privacy concerns,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BULL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