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BUR</w:t>
      </w:r>
      <w:r>
        <w:rPr>
          <w:rFonts w:ascii="Calibri" w:hAnsi="Calibri"/>
          <w:b/>
          <w:color w:val="1A2010"/>
          <w:sz w:val="40"/>
        </w:rPr>
        <w:t xml:space="preserve">  Burford Capital Limited</w:t>
      </w:r>
    </w:p>
    <w:p>
      <w:pPr>
        <w:spacing w:after="120"/>
      </w:pPr>
      <w:r>
        <w:rPr>
          <w:rFonts w:ascii="Calibri" w:hAnsi="Calibri"/>
          <w:b/>
          <w:color w:val="6E8450"/>
          <w:sz w:val="18"/>
        </w:rPr>
        <w:t>GROWTH SLEEVE · 2026-04-21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Guernsey</w:t>
      </w:r>
    </w:p>
    <w:p>
      <w:pPr>
        <w:spacing w:after="80"/>
      </w:pPr>
      <w:r>
        <w:rPr>
          <w:rFonts w:ascii="Calibri" w:hAnsi="Calibri"/>
          <w:b w:val="0"/>
          <w:color w:val="3A4A28"/>
          <w:sz w:val="20"/>
        </w:rPr>
        <w:t>Burford Capital is the world's largest provider of litigation finance, offering capital against the underlying value of commercial litigation and arbitration matters. The company operates in two segments: Principal Finance (deploying capital directly into legal claims) and Asset Management (managing third-party legal finance assets). Burford also provides legal risk management and adverse cost insurance services.</w:t>
      </w:r>
    </w:p>
    <w:p>
      <w:r>
        <w:rPr>
          <w:rFonts w:ascii="Calibri" w:hAnsi="Calibri"/>
          <w:b/>
          <w:color w:val="6E8450"/>
          <w:sz w:val="18"/>
        </w:rPr>
        <w:t>172 Employees · https://www.burfordcapital.com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Burford pioneered institutional-scale litigation finance and has maintained market leadership since its 2009 founding, but the business model has remained fundamentally unchanged — deploying capital against litigation outcomes and collecting returns on resolution [1][2]. No transformative pivots or new product categories in the last 5 years. AI Deployment (1/2): Burford has experimented with AI using closed case files for early-stage issue-spotting and assessing elements of underlying causes of action, though the company acknowledges current AI capabilities are limited and human expertise remains indispensable [3]. Market Share (2/2): Burford is the world's largest litigation finance provider with approximately $7B+ in assets under management, dual-listed on NYSE and LSE, and recognized as the category creator in institutional legal finance [2]. Pipeline (0/2): No specific next-generation products or services with defined timelines; the business pipeline depends on litigation origination and resolution timing which is inherently unpredictable [1]. R&amp;D Intensity (0/1): Minimal R&amp;D spending as a financial services firm; innovation is driven by deal structuring rather than technology development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Burford positions itself as enabling access to justice by providing capital to pursue meritorious legal claims that claimants otherwise couldn't afford — a clear purpose that connects capital deployment to a societal benefit, though critics argue the model incentivizes excessive litigation [2]. Community Impact (1/2): The Equity Project, Burford's award-winning diversity initiative, provides economic incentives to improve diversity in leadership of commercial litigation and arbitration — a distinctive program, though small in scale relative to the company's operations [4]. Employee Retention (0/2): Glassdoor rating of 3.7/5 for work-life balance but only 2.9/5 for culture and values with 54% recommendation rate is below average; reviews cite senior leadership being 'cliquey' and unwilling to address cultural problems [3]. Insider Buying (1/2): CEO Christopher Bogart has led the company since 2009 (16.5 years) with significant equity ownership, demonstrating long-term alignment, though specific recent insider transaction data was limited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Burford's infrastructure reflects the inherent lumpiness of litigation finance returns. Forward P/E of 5.0x is extremely cheap, suggesting significant market skepticism about earnings sustainability [5]. D/E of 68.5% is near the 70% target threshold, with $2.1B in debt against $656M in cash, reflecting the levered nature of the business model [5]. ROE of 2.3% is well below the 15% target, driven by the revenue decline in FY2025. Revenue collapsed 75.3% YoY to $193.8M as litigation resolution timing created a particularly weak year — FY2023 saw $853.9M driven by large case realizations [1][5]. Profit margin of 16.3% is moderate. The 3-year revenue CAGR of -0.3% reflects extreme volatility rather than structural decline. Liquidity floor cleared: 3.5M avg vol x $4.99 = $17.5M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Burford demonstrates mixed infinite game characteristics — CEO Christopher Bogart's 16.5-year tenure and creation of institutional litigation finance as a category show long-term vision, but the company's opaque accounting, short-seller controversies, and governance concerns suggest finite game elements. The Equity Project diversity initiative is genuinely distinctive, but cultural issues flagged in employee reviews undermine the trust foundation.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Burford's stated cause — democratizing access to justice by financing meritorious legal claims — has genuine depth and connects capital deployment to a societal benefit [2]. However, this narrative is contested: critics describe litigation finance as incentivizing excessive litigation and potentially amounting to economic coercion against defendants [4]. The cause has not been validated through decades of consistent execution free of controversy.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data shows a concerning culture profile: 54% recommendation rate, 2.9/5 for culture and values, and reviews describing senior leadership as 'cliquey' and unwilling to address cultural problems [3]. For a 172-person firm where team cohesion is critical, these metrics indicate trust deficits that could impair organizational effectiveness and talent retention.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Burford acknowledges the growth of competitors like Longford Capital, Bentham IMF, and Harbour Litigation Funding, and publishes the Burford Quarterly exploring industry trends and competitive dynamics in a way that elevates the entire litigation finance market [2][3]. This suggests a mature competitive mindset focused on growing the category rather than zero-sum market share battles.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Burford has expanded from pure litigation financing into asset management for third-party investors, legal risk management, and adverse cost insurance — meaningful extensions of the core legal finance model into adjacent revenue streams [2]. The dual NYSE/LSE listing was a strategic move to access deeper capital markets. However, the core business model has remained fundamentally unchanged since founding.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Bogart demonstrated courage in defending the company during the 2019 Muddy Waters short attack and maintaining the company's strategy through significant stock price volatility [4]. The commitment to the Equity Project diversity initiative in a traditionally homogeneous legal industry shows willingness to invest in principle. However, the company has burned through over $1B in the last 5 years financed entirely by debt, raising questions about capital discipline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Burford Capital is the world's largest litigation funder trading at a deeply discounted 5.0x forward P/E, with new definitive commitments up 39% in FY2025 and portfolio modeled realizations growing $700M to $5.2B at year-end [1]. The massive gap between forward P/E (5.0x) and trailing P/E (17.8x) reflects analyst expectations for a significant earnings rebound as the litigation resolution pipeline matures. At $4.99 per share (0.45x book value), the market prices extreme skepticism about the company's ability to realize the $5.2B in modeled portfolio value. CEO Bogart's 16.5-year tenure and the company's position as category creator in institutional litigation finance provide competitive advantages that should compound as the legal finance market matures [2].</w:t>
      </w:r>
    </w:p>
    <w:p>
      <w:pPr>
        <w:spacing w:after="120"/>
      </w:pPr>
      <w:r>
        <w:rPr>
          <w:rFonts w:ascii="Calibri" w:hAnsi="Calibri"/>
          <w:b w:val="0"/>
          <w:color w:val="3A4A28"/>
          <w:sz w:val="20"/>
        </w:rPr>
        <w:t>The bear case centers on Burford's extreme earnings volatility, opaque accounting, and governance concerns. Revenue swung from $853.9M (FY2023) to $193.8M (FY2025) — a 77% decline — driven by litigation resolution timing that is fundamentally unpredictable [1][5]. The business model requires continuous debt issuance ($2.1B outstanding) to fund new commitments, creating refinancing risk in tight credit markets. Sustainalytics assigns a 'Severe' ESG controversy level, and critics argue the litigation finance model incentivizes excessive litigation and economic coercion [4]. The Muddy Waters short attack in 2019 raised legitimate questions about financial reporting transparency that have not been fully resolved. The stock has declined 67% from its $15.10 52-week high, suggesting the market may be pricing in structural concerns beyond just a bad revenue year. Glassdoor culture ratings (2.9/5 for culture and values) are concerning for a 172-person knowledge business [3][5].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Portfolio realizations from $5.2B in modeled value that could drive a dramatic earnings recovery if major cases resolve favorably in 2026-2027 [1]</w:t>
      </w:r>
    </w:p>
    <w:p>
      <w:pPr>
        <w:spacing w:before="40" w:after="40"/>
        <w:ind w:left="283"/>
      </w:pPr>
      <w:r>
        <w:rPr>
          <w:rFonts w:ascii="Calibri" w:hAnsi="Calibri"/>
          <w:b/>
          <w:color w:val="4A6B25"/>
          <w:sz w:val="20"/>
        </w:rPr>
        <w:t xml:space="preserve">2. </w:t>
      </w:r>
      <w:r>
        <w:rPr>
          <w:rFonts w:ascii="Calibri" w:hAnsi="Calibri"/>
          <w:b w:val="0"/>
          <w:color w:val="3A4A28"/>
          <w:sz w:val="20"/>
        </w:rPr>
        <w:t>YPF-related litigation resolution — Burford holds a significant position in the Argentine YPF nationalization case that could generate hundreds of millions in gains [4]</w:t>
      </w:r>
    </w:p>
    <w:p>
      <w:pPr>
        <w:spacing w:before="40" w:after="40"/>
        <w:ind w:left="283"/>
      </w:pPr>
      <w:r>
        <w:rPr>
          <w:rFonts w:ascii="Calibri" w:hAnsi="Calibri"/>
          <w:b/>
          <w:color w:val="4A6B25"/>
          <w:sz w:val="20"/>
        </w:rPr>
        <w:t xml:space="preserve">3. </w:t>
      </w:r>
      <w:r>
        <w:rPr>
          <w:rFonts w:ascii="Calibri" w:hAnsi="Calibri"/>
          <w:b w:val="0"/>
          <w:color w:val="3A4A28"/>
          <w:sz w:val="20"/>
        </w:rPr>
        <w:t>New definitive commitments up 39% in FY2025, indicating strong deal origination that will feed future revenue as cases mature over 2-4 year horizons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revenue volatility — FY2025 revenue of $193.8M was 77% below FY2023's $853.9M, and future years are similarly unpredictable based on litigation resolution timing [1][5]</w:t>
      </w:r>
    </w:p>
    <w:p>
      <w:pPr>
        <w:spacing w:before="40" w:after="40"/>
        <w:ind w:left="283"/>
      </w:pPr>
      <w:r>
        <w:rPr>
          <w:rFonts w:ascii="Calibri" w:hAnsi="Calibri"/>
          <w:b/>
          <w:color w:val="4A6B25"/>
          <w:sz w:val="20"/>
        </w:rPr>
        <w:t xml:space="preserve">2. </w:t>
      </w:r>
      <w:r>
        <w:rPr>
          <w:rFonts w:ascii="Calibri" w:hAnsi="Calibri"/>
          <w:b w:val="0"/>
          <w:color w:val="3A4A28"/>
          <w:sz w:val="20"/>
        </w:rPr>
        <w:t>Debt-funded business model with $2.1B outstanding creates refinancing risk; the company has burned through $1B+ in the last 5 years financed by borrowing [4][5]</w:t>
      </w:r>
    </w:p>
    <w:p>
      <w:pPr>
        <w:spacing w:before="40" w:after="40"/>
        <w:ind w:left="283"/>
      </w:pPr>
      <w:r>
        <w:rPr>
          <w:rFonts w:ascii="Calibri" w:hAnsi="Calibri"/>
          <w:b/>
          <w:color w:val="4A6B25"/>
          <w:sz w:val="20"/>
        </w:rPr>
        <w:t xml:space="preserve">3. </w:t>
      </w:r>
      <w:r>
        <w:rPr>
          <w:rFonts w:ascii="Calibri" w:hAnsi="Calibri"/>
          <w:b w:val="0"/>
          <w:color w:val="3A4A28"/>
          <w:sz w:val="20"/>
        </w:rPr>
        <w:t>Sustainalytics 'Severe' ESG controversy rating and ongoing criticism of litigation finance as ethically problematic could limit institutional investor appetite and regulatory scrutiny could constrain the business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Burford's core business — evaluating, financing, and managing complex commercial litigation — involves deep legal judgment, relationship management with law firms, and assessment of idiosyncratic legal claims that AI cannot fully replicate [3]. The regulatory framework of litigation, courtroom procedures, and human decision-making by judges and juries creates structural protection. However, AI tools are beginning to assist with legal research, document review, and case assessment, which could lower barriers to entry for competing litigation funders and compress Burford's analytical edge over time [3]. AI Opportunity (0/1): Burford's AI experimentation is in early stages focused on internal efficiency rather than revenue-generating AI products; the company has not quantified any AI-driven revenue contribution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Burford Capital FY2025 Financial Results — new commitments up 39%, portfolio modeled realizations of $5.2B, February 2026</w:t>
      </w:r>
    </w:p>
    <w:p>
      <w:pPr>
        <w:spacing w:before="20" w:after="20"/>
        <w:ind w:left="170"/>
      </w:pPr>
      <w:r>
        <w:rPr>
          <w:rFonts w:ascii="Calibri" w:hAnsi="Calibri"/>
          <w:b/>
          <w:color w:val="4A6B25"/>
          <w:sz w:val="15"/>
        </w:rPr>
        <w:t xml:space="preserve">2. </w:t>
      </w:r>
      <w:r>
        <w:rPr>
          <w:rFonts w:ascii="Calibri" w:hAnsi="Calibri"/>
          <w:b w:val="0"/>
          <w:color w:val="3A4A28"/>
          <w:sz w:val="17"/>
        </w:rPr>
        <w:t>Burford Capital corporate website — litigation finance overview, Equity Project, and business model description,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Glassdoor reviews for Burford Capital — 54% recommendation rate, 2.9/5 culture rating, and AI strategy insights,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MarketScreener, Sustainalytics, and Wikipedia — ESG controversy rating, Muddy Waters short attack, and business model criticism,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BUR (Burford Capital), retrieved April 21,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