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BWA</w:t>
      </w:r>
      <w:r>
        <w:rPr>
          <w:rFonts w:ascii="Calibri" w:hAnsi="Calibri"/>
          <w:b/>
          <w:color w:val="1A2010"/>
          <w:sz w:val="40"/>
        </w:rPr>
        <w:t xml:space="preserve">  BorgWarner Inc.</w:t>
      </w:r>
    </w:p>
    <w:p>
      <w:pPr>
        <w:spacing w:after="120"/>
      </w:pPr>
      <w:r>
        <w:rPr>
          <w:rFonts w:ascii="Calibri" w:hAnsi="Calibri"/>
          <w:b/>
          <w:color w:val="6E8450"/>
          <w:sz w:val="18"/>
        </w:rPr>
        <w:t>GROWTH SLEEVE · 2026-04-10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BorgWarner provides technology solutions for combustion, hybrid, and electric vehicles worldwide through four segments: Turbos &amp; Thermal Technologies, Drivetrain &amp; Morse Systems, PowerDrive Systems, and Battery &amp; Charging Systems. Founded in 1928 and headquartered in Auburn Hills, Michigan, the company is pivoting from legacy ICE components toward electrification and data center power solutions.</w:t>
      </w:r>
    </w:p>
    <w:p>
      <w:r>
        <w:rPr>
          <w:rFonts w:ascii="Calibri" w:hAnsi="Calibri"/>
          <w:b/>
          <w:color w:val="6E8450"/>
          <w:sz w:val="18"/>
        </w:rPr>
        <w:t>37,500 Employees · https://www.borgwarner.com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BorgWarner's light vehicle eProducts grew 23% in 2025, and PowerDrive Systems organic sales surged 20% YoY, demonstrating a successful pivot toward electrification [1]. The company also exited its underperforming Charging business in Q1 2025, showing portfolio discipline. However, overall revenue growth was only 1.6% as legacy segments contracted [1]. AI Deployment (1/2): BorgWarner secured a master supply agreement with TurboCell for modular turbine generator systems targeting AI-driven data center infrastructure, with production beginning early 2027 and estimated first-year sales exceeding $300M [1]. This leverages existing turbocharger expertise for an adjacent AI-infrastructure market. Market Share (1/2): BorgWarner is a meaningful player in global powertrain components with leading positions in turbochargers and transmission components, but faces intense competition from Schaeffler, ZF, and BYD's vertical integration. Pipeline (1/2): The data center turbine generator system launching in 2027 and continued eProduct expansion provide visible next-gen revenue streams, though timelines extend beyond 12 months [1]. R&amp;D Intensity (1/1): R&amp;D spending is above industry average for auto parts suppliers, supporting the electrification transition across all four business segments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BorgWarner's stated purpose centers on 'delivering clean and efficient technology solutions for combustion, hybrid, and electric vehicles,' which is clear and directional but not deeply distinctive — it reads as a description of what they do rather than an aspirational vision of a better future [2]. Community Impact (1/2): The company has set specific ESG targets including carbon neutrality by 2035 and 85% Scope 1/2 GHG reduction by 2030 vs. 2021 baseline [3]. BorgWarner employs 37,500 people globally and invests in workforce development across manufacturing communities. Employee Retention (1/2): CEO succession was internal — Joseph Fadool was promoted after 15 years at BorgWarner, and predecessor Frédéric Lissalde served 25 years, suggesting strong internal culture and leadership continuity [2]. Comparably rates the executive team A+, top 5% among large companies. Insider Buying (1/2): The company returned $630M to shareholders in 2025 ($500M+ buybacks, $119M dividends), demonstrating capital allocation conviction, though this is corporate-level rather than personal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BorgWarner's financial profile reflects a company in transition with strong cash generation but depressed GAAP margins. Forward P/E of 9.4x is exceptionally cheap, reflecting market skepticism about the EV transition and auto cycle [4]. D/E of 72.3% is near the 70% target, indicating a well-managed balance sheet. ROE of 5.9% is low due to $624M in impairment charges that suppressed GAAP earnings to $1.28 EPS vs. $4.91 adjusted [1]. GAAP profit margin of 1.9% is weak but adjusted operating margin of 10.7% (up 60bps) shows underlying improvement. Free cash flow of $1.21B (up 66% YoY) is excellent and supports the $630M shareholder return program [1]. Revenue growth of 1.6% YoY and ~7.1% 5yr CAGR are moderate. Forward PEG of ~0.67 based on 14% adjusted EPS growth is attractive. Liquidity floor easily cleared at $165.5M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BorgWarner demonstrates mixed infinite game qualities — the 97-year-old company has shown existential flexibility in pivoting from pure ICE to electrification, but the strategic direction shifts (entering then exiting charging, entering data centers) suggest reactive adaptation rather than a deeply held Just Cause guiding long-term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BorgWarner's purpose of delivering 'clean and efficient technology solutions' is functional but lacks the aspirational quality of a true Just Cause. The 'Charging Forward' strategy provides direction but reads more as a business plan than an enduring vision that survives leadership transitions. The rapid pivot from investing in Battery &amp; Charging to exiting the charging business in 2025 suggests strategy follows market signals, not a deeply held cause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CEO succession (Fadool promoted after 15 years, replacing 25-year veteran Lissalde) signals organizational stability and a culture that develops leaders from within [2]. Comparably rates the executive team A+ (top 5%), and the company's 37,500-employee base operates across dozens of global manufacturing facilities with relatively low reported labor disruptions. However, no standout evidence of exceptional trust culture beyond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BorgWarner acknowledges competitive dynamics from Schaeffler, ZF Friedrichshafen, and especially BYD's vertical integration as forces pushing the company to evolve. The data center market entry demonstrates willingness to learn from competitors' strengths — recognizing that auto-only diversification is insufficient and leveraging core turbo expertise for adjacent markets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BorgWarner has incrementally transformed from a pure ICE components company to a hybrid/EV technology provider, with PowerDrive Systems growing 20% organically in 2025 [1]. The data center market entry represents another adaptation. However, these are evolutionary rather than transformative pivots — the company still derives ~80% of revenue from legacy auto segments, and the 2025 exit from the charging business after earlier investment suggests strategic uncertainty rather than confident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BorgWarner showed courage by exiting its underperforming Charging business despite prior investment, choosing profitability over sunk-cost thinking [1]. The $500M+ share buyback program during a period of industry uncertainty demonstrates capital allocation conviction. However, 2026 guidance of organic revenue decline (-3.5% to -1.5%) accepted without aggressive restructuring suggests incremental management rather than bold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BorgWarner is a 97-year-old auto parts company successfully navigating the powertrain electrification transition. Full-year 2025 adjusted EPS rose 14% to $4.91 on $14.3B revenue, with adjusted operating margin expanding 60bps to 10.7% and free cash flow surging 66% to $1.21B [1]. Light vehicle eProducts grew 23%, and PowerDrive Systems posted 20% organic growth, demonstrating the electrification strategy is gaining traction [1]. At 9.4x forward earnings with $1.2B+ FCF generation and $630M returned to shareholders, BWA trades at a deep value multiple reflecting auto-cycle pessimism. The data center turbine generator partnership with TurboCell ($300M+ estimated Year 1 revenue starting 2027) provides a diversification catalyst beyond auto [1]. 2026 adjusted EPS guidance of $5.00-$5.20 implies continued earnings growth despite a soft auto market.</w:t>
      </w:r>
    </w:p>
    <w:p>
      <w:pPr>
        <w:spacing w:after="120"/>
      </w:pPr>
      <w:r>
        <w:rPr>
          <w:rFonts w:ascii="Calibri" w:hAnsi="Calibri"/>
          <w:b w:val="0"/>
          <w:color w:val="3A4A28"/>
          <w:sz w:val="20"/>
        </w:rPr>
        <w:t>The bear case centers on the secular decline of ICE vehicles and BWA's exposure to a weakening global auto market. 2026 guidance calls for organic revenue to decline 3.5% to 1.5% as weighted light vehicle markets fall 3% to flat [1]. GAAP earnings were severely impacted by $624M in impairment charges, yielding just $1.28 EPS vs. $4.91 adjusted — the gap raises questions about the true economic value of acquired assets [1]. Battery &amp; Charging Systems revenue declined 21% organically in 2025 and is guided to drop another $210M in 2026, suggesting the EV transition is more uneven than initially planned. BYD's vertical integration threatens the traditional Tier 1 supplier model, potentially disintermediating companies like BorgWarner in the world's largest auto market. The data center opportunity, while promising, doesn't begin generating revenue until 2027 and faces execution risk in an unfamiliar market. Profit margins remain thin at 1.9% GAAP, and the dividend yield of 1.24% offers minimal income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turbine generator system partnership with TurboCell beginning production in early 2027 with $300M+ estimated first-year revenue, diversifying beyond automotive [1]</w:t>
      </w:r>
    </w:p>
    <w:p>
      <w:pPr>
        <w:spacing w:before="40" w:after="40"/>
        <w:ind w:left="283"/>
      </w:pPr>
      <w:r>
        <w:rPr>
          <w:rFonts w:ascii="Calibri" w:hAnsi="Calibri"/>
          <w:b/>
          <w:color w:val="4A6B25"/>
          <w:sz w:val="20"/>
        </w:rPr>
        <w:t xml:space="preserve">2. </w:t>
      </w:r>
      <w:r>
        <w:rPr>
          <w:rFonts w:ascii="Calibri" w:hAnsi="Calibri"/>
          <w:b w:val="0"/>
          <w:color w:val="3A4A28"/>
          <w:sz w:val="20"/>
        </w:rPr>
        <w:t>PowerDrive Systems continuing 20%+ organic growth trajectory as hybrid and EV adoption accelerates across Europe and Asia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program targeting 10.7-10.9% adjusted operating margin in 2026 despite softer volumes, with potential for further FCF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light vehicle market weakness — 2026 guidance assumes weighted markets down 3% to flat, and prolonged softness could compress earnings below guidance [1]</w:t>
      </w:r>
    </w:p>
    <w:p>
      <w:pPr>
        <w:spacing w:before="40" w:after="40"/>
        <w:ind w:left="283"/>
      </w:pPr>
      <w:r>
        <w:rPr>
          <w:rFonts w:ascii="Calibri" w:hAnsi="Calibri"/>
          <w:b/>
          <w:color w:val="4A6B25"/>
          <w:sz w:val="20"/>
        </w:rPr>
        <w:t xml:space="preserve">2. </w:t>
      </w:r>
      <w:r>
        <w:rPr>
          <w:rFonts w:ascii="Calibri" w:hAnsi="Calibri"/>
          <w:b w:val="0"/>
          <w:color w:val="3A4A28"/>
          <w:sz w:val="20"/>
        </w:rPr>
        <w:t>BYD vertical integration threat — China's largest EV maker increasingly produces its own powertrain components, potentially disintermediating Tier 1 suppliers like BorgWarner in the world's largest auto market</w:t>
      </w:r>
    </w:p>
    <w:p>
      <w:pPr>
        <w:spacing w:before="40" w:after="40"/>
        <w:ind w:left="283"/>
      </w:pPr>
      <w:r>
        <w:rPr>
          <w:rFonts w:ascii="Calibri" w:hAnsi="Calibri"/>
          <w:b/>
          <w:color w:val="4A6B25"/>
          <w:sz w:val="20"/>
        </w:rPr>
        <w:t xml:space="preserve">3. </w:t>
      </w:r>
      <w:r>
        <w:rPr>
          <w:rFonts w:ascii="Calibri" w:hAnsi="Calibri"/>
          <w:b w:val="0"/>
          <w:color w:val="3A4A28"/>
          <w:sz w:val="20"/>
        </w:rPr>
        <w:t>Asset impairment risk — $624M in goodwill and asset impairments in 2025 signals potential overvaluation of acquired businesses, with Battery &amp; Charging Systems particularly vulnerable to further writedowns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BorgWarner's core business involves manufacturing physical powertrain components — turbochargers, transmissions, electric motors, and battery systems — that AI cannot substitute. These are hardware-intensive products requiring precision manufacturing, materials science, and deep OEM integration [1]. The automotive supply chain's regulatory requirements (safety certifications, emissions compliance) and long qualification cycles create high barriers to AI displacement. However, autonomous driving trends could eventually reduce vehicle miles traveled, and BYD's vertical integration represents a structural competitive threat enabled by AI-driven manufacturing optimization. AI Opportunity (1/1): BorgWarner is directly entering the AI infrastructure market through its turbine generator system partnership with TurboCell, targeting data center power needs with estimated $300M+ first-year revenue beginning 2027 [1]. This positions BorgWarner as an AI beneficiary rather than just AI-immune.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BorgWarner Q4/FY2025 Earnings Release — $14.3B revenue, $4.91 adj. EPS, data center market entry, February 11, 2026</w:t>
      </w:r>
    </w:p>
    <w:p>
      <w:pPr>
        <w:spacing w:before="20" w:after="20"/>
        <w:ind w:left="170"/>
      </w:pPr>
      <w:r>
        <w:rPr>
          <w:rFonts w:ascii="Calibri" w:hAnsi="Calibri"/>
          <w:b/>
          <w:color w:val="4A6B25"/>
          <w:sz w:val="15"/>
        </w:rPr>
        <w:t xml:space="preserve">2. </w:t>
      </w:r>
      <w:r>
        <w:rPr>
          <w:rFonts w:ascii="Calibri" w:hAnsi="Calibri"/>
          <w:b w:val="0"/>
          <w:color w:val="3A4A28"/>
          <w:sz w:val="17"/>
        </w:rPr>
        <w:t>BorgWarner corporate website — leadership, mission, sustainability targets,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BorgWarner 2023 Sustainability Report — ESG targets, carbon neutrality by 2035, Scope 1/2 reduction goals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BWA (BorgWarner),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