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BWIN</w:t>
      </w:r>
      <w:r>
        <w:rPr>
          <w:rFonts w:ascii="Calibri" w:hAnsi="Calibri"/>
          <w:b/>
          <w:color w:val="1A2010"/>
          <w:sz w:val="40"/>
        </w:rPr>
        <w:t xml:space="preserve">  The Baldwin Insurance Group, Inc.</w:t>
      </w:r>
    </w:p>
    <w:p>
      <w:pPr>
        <w:spacing w:after="120"/>
      </w:pPr>
      <w:r>
        <w:rPr>
          <w:rFonts w:ascii="Calibri" w:hAnsi="Calibri"/>
          <w:b/>
          <w:color w:val="6E8450"/>
          <w:sz w:val="18"/>
        </w:rPr>
        <w:t>GROWTH SLEEVE · 2026-04-23 · Inspire: 35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Brokers · NASDAQ · United States</w:t>
      </w:r>
    </w:p>
    <w:p>
      <w:pPr>
        <w:spacing w:after="80"/>
      </w:pPr>
      <w:r>
        <w:rPr>
          <w:rFonts w:ascii="Calibri" w:hAnsi="Calibri"/>
          <w:b w:val="0"/>
          <w:color w:val="3A4A28"/>
          <w:sz w:val="20"/>
        </w:rPr>
        <w:t>The Baldwin Insurance Group is an independent insurance distribution firm providing risk management solutions across three segments: Insurance Advisory Solutions (private risk, commercial risk, employee benefits), Underwriting, Capacity &amp; Technology Solutions (MGA platform for personal, commercial, and professional lines), and Mainstreet Insurance Solutions (personal and commercial insurance for individuals and small businesses). Founded in 2011, formerly BRP Group.</w:t>
      </w:r>
    </w:p>
    <w:p>
      <w:r>
        <w:rPr>
          <w:rFonts w:ascii="Calibri" w:hAnsi="Calibri"/>
          <w:b/>
          <w:color w:val="6E8450"/>
          <w:sz w:val="18"/>
        </w:rPr>
        <w:t>4,955 Employees · https://www.baldwin.com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Baldwin completed transformative acquisitions in January 2026 — CAC Group, OBE, and Capstone — representing ~$350M of 2025 pro forma revenue, demonstrating aggressive roll-up execution that expanded its IAS platform [1]. The company rebranded from BRP Group to Baldwin Insurance Group in May 2024, signaling a strategic maturation. AI Deployment (1/2): Baldwin has a Chief Insurance Innovation Officer (Jim Roche) and is investing in AI/ML-driven operational tools, though no quantified AI revenue or specific AI product shipping to customers has been disclosed [2]. Market Share (1/2): Baldwin is a meaningful regional insurance distributor with ~$1.5B revenue but is not a category leader — far smaller than Marsh McLennan, AON, or even Brown &amp; Brown [1]. Pipeline (1/2): 2026 guidance of $2.01–2.05B revenue represents 35%+ growth from acquisitions, and management expects organic growth to reach double digits by Q4 2026 as commission headwinds fade [1]. R&amp;D Intensity (1/1): The UCTS segment's technology-enabled MGA platform shows above-average tech investment for an insurance distributor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Baldwin's mission centers on a 'powered-by-people approach' guided by 'The Azimuth' — their internal values framework aligning mission, vision, and stakeholder promises. It is clear but not distinctive; typical of professional services firms [2]. Community Impact (1/2): The company employs ~4,955 people and has grown through partnership-oriented acquisitions, preserving local agency cultures, but no specific charitable programs or dollar amounts were found [2]. Employee Retention (1/2): Glassdoor rating of 3.6/5.0 from 341 reviews with 3.7 on culture and values is average for the insurance brokerage industry; no exceptional tenure or retention data found [2]. Insider Buying (1/2): CEO Trevor Baldwin has significant equity exposure through the dual-class share structure, with the founding group controlling over 70% of voting power via Class B shares — indicating strong insider alignment, though this is through control rather than open-market purchases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Baldwin's financial profile is bifurcated — strong topline growth but currently unprofitable on a GAAP basis. Revenue of $1.49B (up 8.1% YoY organically) with adjusted EBITDA margins of 23%, but GAAP net loss of $54.2M and negative profit margin of -2.2% reflect heavy acquisition integration costs [1]. D/E of 162% is elevated due to $1.76B debt against a $2.5B market cap, though forward P/E of 10.2x on $2.51 expected EPS signals significant earnings inflection ahead [4]. ROE is negative at -5.2% due to GAAP losses, and operating cash flow is negative at -$29.4M [4]. 2026 guidance of $2.0–2.05B revenue with $460–480M adjusted EBITDA signals rapid scale, but the gap between GAAP and adjusted metrics is a risk factor. Liquidity floor cleared: 1.8M avg vol x $25.60 = $45.7M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Baldwin plays a mixed game — the acquisitive roll-up strategy creates scale but carries finite-game execution risk. The partnership model that preserves local agency cultures suggests infinite thinking, but the heavy debt load and dependence on acquisition-driven growth create quarterly earnings pressure that could force finite decisions.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Baldwin's 'powered-by-people' philosophy and partnership acquisition model — preserving founder cultures rather than absorbing them — represents a genuine if incomplete cause [2]. The approach of empowering insurance professionals rather than commoditizing them differentiates Baldwin from pure financial acquirers, but the cause hasn't been tested through crisis or leadership transition. (2 pts)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partnership acquisition model explicitly preserves local team autonomy and culture, suggesting trust in acquired teams [2]. Glassdoor's 3.6/5.0 rating is average, and the rapid acquisition pace (CAC Group, OBE, Capstone in January 2026 alone) creates integration risk that could strain trust. CEO Trevor Baldwin has led since 2019 with consistent strategic direction. (1 pt)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found of Baldwin's leadership acknowledging competitors' strengths or framing competition as motivation to improve [2]. The acquisitive strategy suggests a market-share accumulation mindset rather than self-improvement through rivalry. The insurance brokerage space is highly fragmented, and Baldwin's growth-through-acquisition approach is inherently about gaining scale. (0 pts)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Baldwin's evolution from a small Tampa agency founded in 2011 to a $1.5B national platform through the UCTS MGA model and technology-enabled distribution shows meaningful strategic flexibility [1]. The transformation from BRP Group to Baldwin Insurance Group in 2024 and the expansion into underwriting and technology capabilities represent incremental but real business model evolution. (1 pt)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decision to pursue aggressive acquisitions while still GAAP-unprofitable shows willingness to sacrifice near-term earnings for long-term platform scale [1]. The 2026 guidance implying 35%+ revenue growth from acquisitions is a bold bet on integration execution. However, the dual-class share structure insulates management from shareholder pressure, which may reduce the cost of courage. (1 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Baldwin Insurance Group is a high-growth insurance distributor executing an aggressive roll-up strategy with 2026 revenue guidance of $2.01–2.05B (up ~35% from 2025's $1.49B), driven by the January 2026 closure of CAC Group, OBE, and Capstone partnerships contributing ~$400M revenue and ~$110M adjusted EBITDA [1]. The technology-enabled UCTS MGA platform differentiates Baldwin from traditional brokers, and forward P/E of 10.2x on expected EPS of $2.51 signals significant earnings upside as acquisition synergies materialize. Adjusted EBITDA guidance of $460–480M (23%+ margin) and management's expectation of double-digit organic growth by Q4 2026 suggest the platform is approaching operational maturity [1].</w:t>
      </w:r>
    </w:p>
    <w:p>
      <w:pPr>
        <w:spacing w:after="120"/>
      </w:pPr>
      <w:r>
        <w:rPr>
          <w:rFonts w:ascii="Calibri" w:hAnsi="Calibri"/>
          <w:b w:val="0"/>
          <w:color w:val="3A4A28"/>
          <w:sz w:val="20"/>
        </w:rPr>
        <w:t>The bear case centers on execution risk and financial fragility. GAAP net loss of $54.2M with negative operating cash flow of -$29.4M reveals that adjusted metrics mask real integration costs and acquisition-related charges [1]. D/E of 162% with $1.76B debt creates refinancing risk in a higher-rate environment, and the dual-class share structure (70%+ voting control by founders) limits minority shareholder governance rights [3]. BofA's estimate of $15B in insurance commissions vulnerable to AI disruption raises questions about the long-term defensibility of simpler insurance distribution lines [2]. The rapid acquisition pace risks cultural integration failures, and organic growth of just 5.3% (excluding acquisitions) suggests the core business is growing modestly. Revenue growth is acquisition-dependent — if deal flow slows or integration stumbles, the premium valuation thesis breaks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Integration of CAC Group, OBE, and Capstone acquisitions expected to contribute ~$400M revenue and ~$110M adjusted EBITDA in 2026, creating immediate scale benefits [1]</w:t>
      </w:r>
    </w:p>
    <w:p>
      <w:pPr>
        <w:spacing w:before="40" w:after="40"/>
        <w:ind w:left="283"/>
      </w:pPr>
      <w:r>
        <w:rPr>
          <w:rFonts w:ascii="Calibri" w:hAnsi="Calibri"/>
          <w:b/>
          <w:color w:val="4A6B25"/>
          <w:sz w:val="20"/>
        </w:rPr>
        <w:t xml:space="preserve">2. </w:t>
      </w:r>
      <w:r>
        <w:rPr>
          <w:rFonts w:ascii="Calibri" w:hAnsi="Calibri"/>
          <w:b w:val="0"/>
          <w:color w:val="3A4A28"/>
          <w:sz w:val="20"/>
        </w:rPr>
        <w:t>Organic growth expected to ramp to double digits by Q4 2026 as QBE commission headwinds and IAS accounting changes are lapped [1]</w:t>
      </w:r>
    </w:p>
    <w:p>
      <w:pPr>
        <w:spacing w:before="40" w:after="40"/>
        <w:ind w:left="283"/>
      </w:pPr>
      <w:r>
        <w:rPr>
          <w:rFonts w:ascii="Calibri" w:hAnsi="Calibri"/>
          <w:b/>
          <w:color w:val="4A6B25"/>
          <w:sz w:val="20"/>
        </w:rPr>
        <w:t xml:space="preserve">3. </w:t>
      </w:r>
      <w:r>
        <w:rPr>
          <w:rFonts w:ascii="Calibri" w:hAnsi="Calibri"/>
          <w:b w:val="0"/>
          <w:color w:val="3A4A28"/>
          <w:sz w:val="20"/>
        </w:rPr>
        <w:t>GAAP profitability inflection as acquisition-related charges normalize, with forward EPS of $2.51 implying a transition from GAAP losses to positive earnings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Heavy debt load of $1.76B (D/E 162%) creates refinancing risk and limits financial flexibility if acquisition integration falters or interest rates remain elevated [4]</w:t>
      </w:r>
    </w:p>
    <w:p>
      <w:pPr>
        <w:spacing w:before="40" w:after="40"/>
        <w:ind w:left="283"/>
      </w:pPr>
      <w:r>
        <w:rPr>
          <w:rFonts w:ascii="Calibri" w:hAnsi="Calibri"/>
          <w:b/>
          <w:color w:val="4A6B25"/>
          <w:sz w:val="20"/>
        </w:rPr>
        <w:t xml:space="preserve">2. </w:t>
      </w:r>
      <w:r>
        <w:rPr>
          <w:rFonts w:ascii="Calibri" w:hAnsi="Calibri"/>
          <w:b w:val="0"/>
          <w:color w:val="3A4A28"/>
          <w:sz w:val="20"/>
        </w:rPr>
        <w:t>AI disintermediation of low-complexity insurance lines — BofA estimates $15B in industry commissions at risk from AI-driven direct binding, threatening Baldwin's Mainstreet segment [2]</w:t>
      </w:r>
    </w:p>
    <w:p>
      <w:pPr>
        <w:spacing w:before="40" w:after="40"/>
        <w:ind w:left="283"/>
      </w:pPr>
      <w:r>
        <w:rPr>
          <w:rFonts w:ascii="Calibri" w:hAnsi="Calibri"/>
          <w:b/>
          <w:color w:val="4A6B25"/>
          <w:sz w:val="20"/>
        </w:rPr>
        <w:t xml:space="preserve">3. </w:t>
      </w:r>
      <w:r>
        <w:rPr>
          <w:rFonts w:ascii="Calibri" w:hAnsi="Calibri"/>
          <w:b w:val="0"/>
          <w:color w:val="3A4A28"/>
          <w:sz w:val="20"/>
        </w:rPr>
        <w:t>Dual-class share structure concentrates 70%+ voting power with founders, limiting minority shareholder governance rights and creating potential agency conflicts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Insurance brokerage faces moderate AI disruption risk. BofA estimates $15B in insurance industry commissions are 'low complexity' and face AI disintermediation risk, with Munich Re's Next Insurance already offering AI-driven direct policy binding [2]. Baldwin's Mainstreet segment (personal lines, small commercial) is most exposed to AI-driven direct-to-consumer channels. However, the IAS segment's complex risk advisory for high-net-worth individuals and large commercial accounts requires relationship-based expertise that AI cannot easily replicate [2]. The UCTS segment's MGA platform may benefit from AI-driven underwriting efficiency. AI Opportunity (1/1): Baldwin is actively deploying AI through its innovation team, with AI/ML initiatives integrated into its technology-enabled MGA platform, though no specific AI revenue figures have been disclosed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Hiring Ethics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Baldwin Insurance Group Q4 2025 Earnings Call — revenue $1.49B, adjusted EBITDA 23%, 2026 guidance $2.01–2.05B, February 2026</w:t>
      </w:r>
    </w:p>
    <w:p>
      <w:pPr>
        <w:spacing w:before="20" w:after="20"/>
        <w:ind w:left="170"/>
      </w:pPr>
      <w:r>
        <w:rPr>
          <w:rFonts w:ascii="Calibri" w:hAnsi="Calibri"/>
          <w:b/>
          <w:color w:val="4A6B25"/>
          <w:sz w:val="15"/>
        </w:rPr>
        <w:t xml:space="preserve">2. </w:t>
      </w:r>
      <w:r>
        <w:rPr>
          <w:rFonts w:ascii="Calibri" w:hAnsi="Calibri"/>
          <w:b w:val="0"/>
          <w:color w:val="3A4A28"/>
          <w:sz w:val="17"/>
        </w:rPr>
        <w:t>Baldwin Group corporate website, Glassdoor reviews (3.6/5.0), AI strategy and innovation leadership,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Sustainalytics ESG Rating, dual-class share structure governance analysis,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BWIN, retrieved April 23,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