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BWXT</w:t>
      </w:r>
      <w:r>
        <w:rPr>
          <w:rFonts w:ascii="Calibri" w:hAnsi="Calibri"/>
          <w:b/>
          <w:color w:val="1A2010"/>
          <w:sz w:val="40"/>
        </w:rPr>
        <w:t xml:space="preserve">  BWX Technologies, Inc.</w:t>
      </w:r>
    </w:p>
    <w:p>
      <w:pPr>
        <w:spacing w:after="120"/>
      </w:pPr>
      <w:r>
        <w:rPr>
          <w:rFonts w:ascii="Calibri" w:hAnsi="Calibri"/>
          <w:b/>
          <w:color w:val="6E8450"/>
          <w:sz w:val="18"/>
        </w:rPr>
        <w:t>GROWTH SLEEVE · 2026-05-05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BWX Technologies manufactures and sells nuclear components, reactors, and fuel for the U.S. Naval Nuclear Propulsion Program and commercial nuclear applications. The company operates through Government Operations (naval reactors, nuclear fuel) and Commercial Operations (nuclear steam generators, medical radioisotopes, SMR components). Founded in 1867 and headquartered in Lynchburg, Virginia.</w:t>
      </w:r>
    </w:p>
    <w:p>
      <w:r>
        <w:rPr>
          <w:rFonts w:ascii="Calibri" w:hAnsi="Calibri"/>
          <w:b/>
          <w:color w:val="6E8450"/>
          <w:sz w:val="18"/>
        </w:rPr>
        <w:t>10,400 Employees · https://www.bwxt.com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BWXT has successfully expanded from its naval nuclear core into commercial nuclear, medical radioisotopes, and small modular reactor (SMR) components over the past 5 years. The Commercial Operations segment surged 121% in Q1 2026, demonstrating successful diversification [1]. The Precision Components Group acquisition expanded manufacturing capability. AI Deployment (1/2): BWXT unveiled a Melbourne Digital Center for digital modernization, product digitization, and AI-enabled solutions, demonstrating concrete investment in operational AI rather than just announcements [2]. Market Share (2/2): BWXT is the sole-source supplier of naval nuclear reactors and fuel for the U.S. Navy — a monopoly position with no viable competitor [1][3]. In commercial nuclear, the company leads SMR component manufacturing alongside Rolls-Royce. Pipeline (1/2): Total backlog grew to $8.65B from $4.88B a year earlier, providing multi-year revenue visibility [1]. SMR contracts for AI data center power applications and Canadian nuclear projects create a defined growth pipeline. R&amp;D Intensity (1/1): Significant investment in advanced nuclear technologies, medical isotopes, and digital capabilities relative to aerospace/defense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BWXT's tagline 'People Strong. Innovation Driven.' and its mission to advance nuclear technology for national defense, clean energy, and medicine reflects genuine intentionality connecting the company's work to national security and decarbonization [3]. Founded in 1867, the company's nuclear mission has been validated through over 70 years of continuous naval nuclear operations. This is specific and thoughtful. Community Impact (1/2): BWXT reports community investment through sustainability reports and supports local communities in Lynchburg, VA and other facility locations [3]. The company's nuclear medicine division (radioisotopes, radiopharmaceuticals) provides direct healthcare impact. Employee Retention (1/2): 10,400 employees with stable leadership under CEO Rex Geveden (CEO since 2017, joined 2015). Nuclear industry roles require security clearances creating natural retention. However, Glassdoor shows 3.4/5 and Comparably rates executive team in bottom 25% of similar-size companies, indicating mixed sentiment [2]. Insider Buying (1/2): CEO Geveden has been with the company since 2015 and maintains significant equity exposure, though no specific recent open-market purchase data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BWXT demonstrates strong financial infrastructure driven by exceptional growth. Q1 2026 revenue of $860.2M (up 26% YoY) with full-year guidance raised to $3.75B+ [1]. ROE of 28.5% significantly exceeds the 15% target. Revenue growth of 18.7% YoY exceeds the 10% target. Forward P/E of 41.9x is elevated but improving given 26% revenue growth and $8.65B backlog [1]. D/E of 167.1% is above target but manageable for a capital-intensive defense contractor. Profit margin of 10.3% is below the 20% target but improving with scale. Liquidity easily cleared: 980,613 avg volume × $216.68 = $212.5M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BWX Technologies exemplifies infinite game thinking through a 157-year operational history, a Just Cause rooted in national defense and clean energy, and leadership that invests in multi-decade capabilities (naval reactors with 30+ year lifecycles, SMR technology). The company plays to keep playing — nuclear technology requires generational commitment that transcends quarterly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BWXT's Just Cause — advancing nuclear technology to protect national security and provide clean energy — has been validated through 70+ years of uninterrupted naval nuclear operations and a 157-year corporate history [3]. The cause survived multiple leadership transitions, the post-Cold War defense drawdown, the Fukushima nuclear sentiment crisis, and industry-wide nuclear skepticism. Strategic decisions consistently trace back to nuclear mission excellence. People join for the cause (national defense, clean energy, saving lives through medical isotopes) and stay because of security clearance investment and mission alignment. This is a textbook Just Cause that IS the competitive advantage. Score: 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environment. The nuclear industry's safety culture requires high-trust operations — a single mistake can be catastrophic, creating inherent psychological safety around reporting issues [3]. CEO Geveden's tenure since 2017 provides leadership stability. However, Glassdoor ratings of 3.4/5 and Comparably's bottom-25% executive rating suggest room for improvement [2]. The security clearance requirement creates natural retention but also organizational rigidity.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BWXT demonstrates an infinite competitive mindset by acknowledging Rolls-Royce as a worthy rival in SMR development and learning from commercial nuclear peers globally [2]. The company frames competition as motivating improvement — partnering where rivals have strengths (Canadian nuclear projects with international partners) rather than seeking to destroy competitors. In a sole-source naval nuclear position, the company competes against its own prior performance rather than external enemies.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BWXT evolved from a pure naval nuclear supplier to a diversified nuclear technology company spanning commercial reactors, medical isotopes, and SMR components [1][3]. The commercial segment's 121% growth in Q1 2026 shows successful diversification beyond government dependence. However, these are adjacent-market extensions of core nuclear competency rather than transformative reinvention — the company remains firmly nuclear-focused, which is both its strength and its constraint. Score: 1 weighted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courageous long-term investment. BWXT invested heavily in commercial nuclear and SMR capabilities during a period when nuclear sentiment was deeply negative post-Fukushima [3]. The company maintained R&amp;D spending on advanced nuclear technologies and medical isotopes when the market was skeptical of nuclear's future. The Precision Components Group acquisition expanded capability during uncertainty. CEO Geveden committed to AI data center nuclear power positioning before the thesis was consensus, and raised 2026 guidance when many peers were cautious [1].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BWX Technologies is a premier nuclear technology company delivering accelerating growth — Q1 2026 revenue of $860.2M (up 26% YoY) with commercial operations surging 121% on nuclear components, services, fuel, and medical sales [1]. Total backlog reached $8.65B (up 77% YoY from $4.88B), providing exceptional multi-year revenue visibility. Full-year 2026 guidance was raised: revenue above $3.75B, adjusted EBITDA of $650-665M, non-GAAP EPS of $4.60-4.75, and free cash flow of $315-330M [1]. BWXT is the sole-source provider of U.S. naval nuclear reactors and fuel — an irreplaceable national security asset with zero competitive threat. The company is uniquely positioned as a direct beneficiary of AI-driven electricity demand through SMR nuclear power for data centers, the U.S. nuclear submarine fleet expansion, and growing medical isotope demand.</w:t>
      </w:r>
    </w:p>
    <w:p>
      <w:pPr>
        <w:spacing w:after="120"/>
      </w:pPr>
      <w:r>
        <w:rPr>
          <w:rFonts w:ascii="Calibri" w:hAnsi="Calibri"/>
          <w:b w:val="0"/>
          <w:color w:val="3A4A28"/>
          <w:sz w:val="20"/>
        </w:rPr>
        <w:t>The bear case centers on valuation and concentration risk. At 41.9x forward P/E and 60.2x trailing P/E, BWXT is priced for perfection — any execution stumble or nuclear sentiment reversal could trigger significant multiple compression [4]. The January 2026 DeepSeek-driven sell-off (10%+ decline) demonstrated vulnerability to AI narrative shifts even when fundamentals are unaffected [2]. Government Operations (the majority of revenue) depends on U.S. Navy shipbuilding budgets that face political risk from deficit-reduction efforts. D/E of 167% is elevated for a defense contractor, though manageable given contract visibility. Profit margins of 10.3% remain below defense sector peers, reflecting the capital-intensive nature of nuclear manufacturing. The 26% revenue growth was 11% organic with the remainder from acquisitions, raising questions about sustainable organic growth rates once acquisition contributions normalize.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nuclear power demand — SMR contracts for baseload power positioning BWXT as critical infrastructure for the AI buildout, with $8.65B backlog providing multi-year visibility [1]</w:t>
      </w:r>
    </w:p>
    <w:p>
      <w:pPr>
        <w:spacing w:before="40" w:after="40"/>
        <w:ind w:left="283"/>
      </w:pPr>
      <w:r>
        <w:rPr>
          <w:rFonts w:ascii="Calibri" w:hAnsi="Calibri"/>
          <w:b/>
          <w:color w:val="4A6B25"/>
          <w:sz w:val="20"/>
        </w:rPr>
        <w:t xml:space="preserve">2. </w:t>
      </w:r>
      <w:r>
        <w:rPr>
          <w:rFonts w:ascii="Calibri" w:hAnsi="Calibri"/>
          <w:b w:val="0"/>
          <w:color w:val="3A4A28"/>
          <w:sz w:val="20"/>
        </w:rPr>
        <w:t>Commercial Operations momentum — 121% Q1 growth from nuclear components, medical isotopes, and Canadian reactor projects creating a second growth engine beyond naval programs [1]</w:t>
      </w:r>
    </w:p>
    <w:p>
      <w:pPr>
        <w:spacing w:before="40" w:after="40"/>
        <w:ind w:left="283"/>
      </w:pPr>
      <w:r>
        <w:rPr>
          <w:rFonts w:ascii="Calibri" w:hAnsi="Calibri"/>
          <w:b/>
          <w:color w:val="4A6B25"/>
          <w:sz w:val="20"/>
        </w:rPr>
        <w:t xml:space="preserve">3. </w:t>
      </w:r>
      <w:r>
        <w:rPr>
          <w:rFonts w:ascii="Calibri" w:hAnsi="Calibri"/>
          <w:b w:val="0"/>
          <w:color w:val="3A4A28"/>
          <w:sz w:val="20"/>
        </w:rPr>
        <w:t>Raised 2026 guidance (EBITDA $650-665M, EPS $4.60-4.75) with potential for further upward revisions as commercial nuclear demand 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41.9x forward P/E requires sustained 20%+ earnings growth; any deceleration or nuclear sentiment shift (as seen in January 2026 DeepSeek sell-off) could trigger sharp multiple compression [2][4]</w:t>
      </w:r>
    </w:p>
    <w:p>
      <w:pPr>
        <w:spacing w:before="40" w:after="40"/>
        <w:ind w:left="283"/>
      </w:pPr>
      <w:r>
        <w:rPr>
          <w:rFonts w:ascii="Calibri" w:hAnsi="Calibri"/>
          <w:b/>
          <w:color w:val="4A6B25"/>
          <w:sz w:val="20"/>
        </w:rPr>
        <w:t xml:space="preserve">2. </w:t>
      </w:r>
      <w:r>
        <w:rPr>
          <w:rFonts w:ascii="Calibri" w:hAnsi="Calibri"/>
          <w:b w:val="0"/>
          <w:color w:val="3A4A28"/>
          <w:sz w:val="20"/>
        </w:rPr>
        <w:t>Government budget concentration — naval nuclear programs depend on U.S. defense appropriations that face political uncertainty from deficit hawks and shifting defense priorities [1]</w:t>
      </w:r>
    </w:p>
    <w:p>
      <w:pPr>
        <w:spacing w:before="40" w:after="40"/>
        <w:ind w:left="283"/>
      </w:pPr>
      <w:r>
        <w:rPr>
          <w:rFonts w:ascii="Calibri" w:hAnsi="Calibri"/>
          <w:b/>
          <w:color w:val="4A6B25"/>
          <w:sz w:val="20"/>
        </w:rPr>
        <w:t xml:space="preserve">3. </w:t>
      </w:r>
      <w:r>
        <w:rPr>
          <w:rFonts w:ascii="Calibri" w:hAnsi="Calibri"/>
          <w:b w:val="0"/>
          <w:color w:val="3A4A28"/>
          <w:sz w:val="20"/>
        </w:rPr>
        <w:t>Elevated leverage (167% D/E) and capital-intensive manufacturing with 10.3% profit margins limiting financial flexibility during any revenue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BWXT is structurally immune to AI disruption — nuclear reactor manufacturing, naval fuel fabrication, and nuclear component production are physically complex, highly regulated, security-clearance-required operations that AI cannot replicate or replace [1][3]. More critically, AI is a demand driver: AI data centers require massive baseload power, and BWXT's SMR components and nuclear energy solutions directly benefit from growing AI energy consumption. The DeepSeek sell-off in January 2026 temporarily depressed nuclear energy stocks on fears of reduced AI power demand, but Q1 2026 results (121% commercial growth) confirmed the nuclear-AI thesis remains intact [1][2]. AI Opportunity (1/1): BWXT generates quantifiable revenue from AI-adjacent infrastructure — nuclear components for SMRs targeting AI data center power, plus the Melbourne Digital Center developing AI-enabled manufacturing solutions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BWX Technologies Q1 2026 Earnings Release — Revenue $860.2M (up 26%), backlog $8.65B, guidance raised, May 2026</w:t>
      </w:r>
    </w:p>
    <w:p>
      <w:pPr>
        <w:spacing w:before="20" w:after="20"/>
        <w:ind w:left="170"/>
      </w:pPr>
      <w:r>
        <w:rPr>
          <w:rFonts w:ascii="Calibri" w:hAnsi="Calibri"/>
          <w:b/>
          <w:color w:val="4A6B25"/>
          <w:sz w:val="15"/>
        </w:rPr>
        <w:t xml:space="preserve">2. </w:t>
      </w:r>
      <w:r>
        <w:rPr>
          <w:rFonts w:ascii="Calibri" w:hAnsi="Calibri"/>
          <w:b w:val="0"/>
          <w:color w:val="3A4A28"/>
          <w:sz w:val="17"/>
        </w:rPr>
        <w:t>AINvest, IndexBox, Yahoo Finance — BWX Technologies AI data center nuclear positioning, Melbourne Digital Center, Glassdoor reviews</w:t>
      </w:r>
    </w:p>
    <w:p>
      <w:pPr>
        <w:spacing w:before="20" w:after="20"/>
        <w:ind w:left="170"/>
      </w:pPr>
      <w:r>
        <w:rPr>
          <w:rFonts w:ascii="Calibri" w:hAnsi="Calibri"/>
          <w:b/>
          <w:color w:val="4A6B25"/>
          <w:sz w:val="15"/>
        </w:rPr>
        <w:t xml:space="preserve">3. </w:t>
      </w:r>
      <w:r>
        <w:rPr>
          <w:rFonts w:ascii="Calibri" w:hAnsi="Calibri"/>
          <w:b w:val="0"/>
          <w:color w:val="3A4A28"/>
          <w:sz w:val="17"/>
        </w:rPr>
        <w:t>BWXT Corporate — 2023 Sustainability Report, Leadership Team, Company History (founded 1867)</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BWXT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