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BXMT</w:t>
      </w:r>
      <w:r>
        <w:rPr>
          <w:rFonts w:ascii="Calibri" w:hAnsi="Calibri"/>
          <w:b/>
          <w:color w:val="1A2010"/>
          <w:sz w:val="40"/>
        </w:rPr>
        <w:t xml:space="preserve">  Blackstone Mortgage Trust, Inc.</w:t>
      </w:r>
    </w:p>
    <w:p>
      <w:pPr>
        <w:spacing w:after="120"/>
      </w:pPr>
      <w:r>
        <w:rPr>
          <w:rFonts w:ascii="Calibri" w:hAnsi="Calibri"/>
          <w:b/>
          <w:color w:val="6E8450"/>
          <w:sz w:val="18"/>
        </w:rPr>
        <w:t>DIVIDEND SLEEVE · 2026-04-27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Blackstone Mortgage Trust is an externally managed commercial mortgage REIT that originates, acquires, and manages senior floating-rate mortgage loans secured by commercial real estate. Managed by Blackstone, the world's largest alternative asset manager, BXMT operates globally across the U.S., Europe, and Australia. The company was formerly Capital Trust, Inc. and rebranded in 2013.</w:t>
      </w:r>
    </w:p>
    <w:p>
      <w:r>
        <w:rPr>
          <w:rFonts w:ascii="Calibri" w:hAnsi="Calibri"/>
          <w:b/>
          <w:color w:val="6E8450"/>
          <w:sz w:val="18"/>
        </w:rPr>
        <w:t>https://www.blackstonemortgagetrust.com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Q4 2025 revenue surged 39.2% to $159.3M, beating analyst estimates of $108.2M, with earnings of $39.6M ($0.24/share) improving from $37.2M ($0.21/share) YoY [1]. Impaired loans decreased from $2.3B to $700M year-over-year, demonstrating portfolio cleanup. AI Deployment (1/2): Blackstone parent has made AI disruption risk a top strategic priority, using a traffic-light system to evaluate AI exposure across investments, and all investment memorandums must articulate AI impact on the front page [3]. This institutional AI awareness benefits BXMT's underwriting. Market Share (1/2): BXMT is the largest publicly traded commercial mortgage REIT, backed by Blackstone's $1T+ AUM platform, but competes with banks, insurance companies, and other CRE lenders in a commoditized market. Pipeline (0/2): Mortgage REIT origination depends on CRE transaction volume and interest rate dynamics — no proprietary product pipeline. R&amp;D Intensity (1/1): Blackstone's technology and data analytics capabilities enhance credit underwriting and portfolio management.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BXMT's mission is to originate and manage senior commercial real estate loans — a purely financial intermediation purpose with no broader social mission beyond capital allocation [4]. As an externally managed REIT, the company has no independent culture or employees; operations are conducted by Blackstone personnel. Community Impact (1/2): BXMT finances commercial real estate projects that create jobs, housing, and economic activity, and the Anthropic lease connection links BXMT to AI-driven office demand [3]. Employee Retention (1/2): Blackstone Group overall receives 4.0/5 on Glassdoor with 3.6/5 for culture and values, though some criticism exists around resistance to operational innovation and AI tool adoption [3]. Insider Buying (1/2): The 9.36% dividend yield demonstrates income commitment, though the cut from $0.62 to $0.47/quarter in Q3 2024 signals earnings pressure.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BXMT's financial profile reflects the risks inherent in leveraged commercial real estate lending. D/E of 461.7% is extreme even for a mortgage REIT, with $16.2B total debt against a $3.4B market cap [5]. Trailing P/E of 31.4x and EPS of $0.64 are distorted by credit loss provisions, but forward P/E of 10.3x (based on $1.94 EPS estimate) implies meaningful earnings recovery [5]. Revenue growth of 49.4% reflects higher rates on floating-rate loans and portfolio repositioning. Profit margin of 24.9% and ROE of 3.0% are weak, reflecting the drag from impaired loans. The dividend was cut 24% in Q3 2024, and the payout ratio of 294% on GAAP earnings is unsustainable — distributable earnings provide better coverage at 102% [2]. Liquidity floor cleared: 1.48M avg volume × $20.08 = $29.6M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BXMT benefits from Blackstone's institutional long-term orientation and massive platform, but the externally managed structure creates inherent conflicts of interest between BXMT shareholders and Blackstone's management fees. The dividend cut and impaired loan problems demonstrate that leveraged CRE lending is inherently cyclical, and the extreme leverage creates finite game fragility that contradicts infinite game principles.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Providing senior secured commercial real estate financing is a necessary market function but lacks inspirational purpose — BXMT exists to generate risk-adjusted returns for shareholders through leveraged lending, not to advance a broader cause [4]. The Blackstone platform provides institutional credibility but the externally managed structure means BXMT's 'cause' is ultimately Blackstone's fee generation.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an externally managed REIT, BXMT has no independent employees — operations are conducted by Blackstone Real Estate Debt Strategies personnel [4]. New CEO Tim Johnson (appointed November 2025) brings fresh leadership but his short tenure means the team dynamic is still forming [3]. Blackstone's overall Glassdoor rating of 4.0/5 suggests competent but not exceptional culture.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BXMT competes against Starwood Property Trust, KKR Real Estate Finance, Apollo Commercial Real Estate Finance, and banks for CRE lending. Competition from Blackstone's position as the world's largest alternative asset manager provides unique sourcing advantages — borrowers often prefer Blackstone's certainty of execution [1]. The rivalry drives disciplined underwriting and competitive pricing.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BXMT can shift its portfolio mix geographically (U.S., Europe, Australia) and across property types, and the floating-rate loan structure adapts to interest rate environments [1]. However, the company is fundamentally constrained to senior CRE lending — it cannot pivot to equity investing, development, or other strategies. Blackstone's broader platform provides strategic optionality at the parent level but BXMT shareholders don't directly benefit.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cut the dividend by 24% in Q3 2024, while unpopular with income investors, demonstrated management courage in prioritizing balance sheet health over short-term yield [2]. The aggressive reduction of impaired loans from $2.3B to $700M shows decisive portfolio management. However, the extreme leverage ($16.2B debt) and external management structure suggest financial engineering rather than principled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Blackstone Mortgage Trust offers a 9.36% dividend yield backed by improving fundamentals — Q4 2025 revenue surged 39.2% to $159.3M (beating estimates by 47%), impaired loans dropped from $2.3B to $700M, and distributable earnings now cover the dividend at 102% [1][2]. The forward P/E of 10.3x implies earnings of $1.94/share, a major recovery from trailing $0.64, creating potential for significant total return if CRE markets stabilize. Blackstone's $1T+ AUM platform provides unmatched deal flow, underwriting capability, and institutional credibility that independent mortgage REITs cannot replicate [3]. The floating-rate portfolio benefits from elevated interest rates through higher net interest margins. The Inspire score of 63 (ALIGNED) with zero negative attributions supports faith-based ownership. At $20.08 and near 52-week highs, the stock reflects early recovery recognition.</w:t>
      </w:r>
    </w:p>
    <w:p>
      <w:pPr>
        <w:spacing w:after="120"/>
      </w:pPr>
      <w:r>
        <w:rPr>
          <w:rFonts w:ascii="Calibri" w:hAnsi="Calibri"/>
          <w:b w:val="0"/>
          <w:color w:val="3A4A28"/>
          <w:sz w:val="20"/>
        </w:rPr>
        <w:t>The bear case is dominated by leverage and CRE credit risk. D/E of 461.7% and $16.2B total debt against a $3.4B market cap creates extreme financial fragility — even modest credit deterioration could wipe out equity value [5]. The 24% dividend cut in Q3 2024 demonstrates that management will reduce distributions when necessary, and the GAAP payout ratio of 294% remains deeply unsustainable. ROE of 3.0% is abysmal for the risk taken, reflecting the impaired loan drag. The CRE market remains under pressure from remote work reducing office demand, higher interest rates stressing borrower debt service, and slowing transaction volumes. The externally managed structure creates management fee conflicts — Blackstone earns fees regardless of BXMT stock performance [4]. Blackstone's own AI risk framework warns that rule-based businesses face 'profound' disruption — CRE underwriting has rule-based elements that could be automated, potentially compressing lending spreads over time [3]. The $700M in remaining impaired loans could still generate significant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recovery from $0.64 trailing EPS to $1.94 forward EPS, driven by impaired loan resolution and higher net interest margins on floating-rate portfolio [1][5]</w:t>
      </w:r>
    </w:p>
    <w:p>
      <w:pPr>
        <w:spacing w:before="40" w:after="40"/>
        <w:ind w:left="283"/>
      </w:pPr>
      <w:r>
        <w:rPr>
          <w:rFonts w:ascii="Calibri" w:hAnsi="Calibri"/>
          <w:b/>
          <w:color w:val="4A6B25"/>
          <w:sz w:val="20"/>
        </w:rPr>
        <w:t xml:space="preserve">2. </w:t>
      </w:r>
      <w:r>
        <w:rPr>
          <w:rFonts w:ascii="Calibri" w:hAnsi="Calibri"/>
          <w:b w:val="0"/>
          <w:color w:val="3A4A28"/>
          <w:sz w:val="20"/>
        </w:rPr>
        <w:t>Continued impaired loan reduction — decline from $2.3B to $700M demonstrates portfolio cleanup that could eliminate the credit loss overhang [2]</w:t>
      </w:r>
    </w:p>
    <w:p>
      <w:pPr>
        <w:spacing w:before="40" w:after="40"/>
        <w:ind w:left="283"/>
      </w:pPr>
      <w:r>
        <w:rPr>
          <w:rFonts w:ascii="Calibri" w:hAnsi="Calibri"/>
          <w:b/>
          <w:color w:val="4A6B25"/>
          <w:sz w:val="20"/>
        </w:rPr>
        <w:t xml:space="preserve">3. </w:t>
      </w:r>
      <w:r>
        <w:rPr>
          <w:rFonts w:ascii="Calibri" w:hAnsi="Calibri"/>
          <w:b w:val="0"/>
          <w:color w:val="3A4A28"/>
          <w:sz w:val="20"/>
        </w:rPr>
        <w:t>9.36% dividend yield now covered at 102% by distributable earnings, with potential for dividend increases if earnings recovery materializes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$16.2B debt on $3.4B market cap (461.7% D/E) creates existential risk in a CRE downturn or if refinancing costs increase [5]</w:t>
      </w:r>
    </w:p>
    <w:p>
      <w:pPr>
        <w:spacing w:before="40" w:after="40"/>
        <w:ind w:left="283"/>
      </w:pPr>
      <w:r>
        <w:rPr>
          <w:rFonts w:ascii="Calibri" w:hAnsi="Calibri"/>
          <w:b/>
          <w:color w:val="4A6B25"/>
          <w:sz w:val="20"/>
        </w:rPr>
        <w:t xml:space="preserve">2. </w:t>
      </w:r>
      <w:r>
        <w:rPr>
          <w:rFonts w:ascii="Calibri" w:hAnsi="Calibri"/>
          <w:b w:val="0"/>
          <w:color w:val="3A4A28"/>
          <w:sz w:val="20"/>
        </w:rPr>
        <w:t>CRE market structural risks — remote work reducing office demand, elevated interest rates stressing borrower debt service, and slowing transaction volumes threaten portfolio credit quality [4]</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conflicts — Blackstone earns management fees regardless of BXMT shareholder outcomes, creating misaligned incentives between manager and shareholders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Commercial mortgage lending involves credit analysis, due diligence, and relationship management that AI can augment but not fully replace — borrower negotiations, property inspections, and legal structuring remain human-intensive [4]. However, Blackstone President Jonathan Gray has warned that AI could profoundly disrupt 'rule-based businesses' including transaction processing, and CRE lending involves significant rule-based underwriting that could be automated [3]. AI could enable non-traditional lenders to enter CRE lending with lower costs, compressing spreads. Blackstone's institutional AI awareness (traffic-light system for AI risk) provides BXMT with better risk assessment than standalone lenders. AI Opportunity (1/1): AI-enhanced underwriting, borrower monitoring, and portfolio surveillance could reduce credit losses — BXMT's impaired loan reduction from $2.3B to $700M may already reflect improved analytics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Nasdaq / Seeking Alpha — Blackstone Mortgage Trust Q4 2025 Earnings Results and 2026 Outlook, February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Blackstone Mortgage Trust Attractive Valuation After Q4 2025 Earnings, Q3 Distributable Earnings Coverage Analysis, 2026</w:t>
      </w:r>
    </w:p>
    <w:p>
      <w:pPr>
        <w:spacing w:before="20" w:after="20"/>
        <w:ind w:left="170"/>
      </w:pPr>
      <w:r>
        <w:rPr>
          <w:rFonts w:ascii="Calibri" w:hAnsi="Calibri"/>
          <w:b/>
          <w:color w:val="4A6B25"/>
          <w:sz w:val="15"/>
        </w:rPr>
        <w:t xml:space="preserve">3. </w:t>
      </w:r>
      <w:r>
        <w:rPr>
          <w:rFonts w:ascii="Calibri" w:hAnsi="Calibri"/>
          <w:b w:val="0"/>
          <w:color w:val="3A4A28"/>
          <w:sz w:val="17"/>
        </w:rPr>
        <w:t>PYMNTS / HedgeCo / Simply Wall St — Blackstone AI Disruption Risk Strategy and BXMT Anthropic Lease Connection, 2025-2026</w:t>
      </w:r>
    </w:p>
    <w:p>
      <w:pPr>
        <w:spacing w:before="20" w:after="20"/>
        <w:ind w:left="170"/>
      </w:pPr>
      <w:r>
        <w:rPr>
          <w:rFonts w:ascii="Calibri" w:hAnsi="Calibri"/>
          <w:b/>
          <w:color w:val="4A6B25"/>
          <w:sz w:val="15"/>
        </w:rPr>
        <w:t xml:space="preserve">4. </w:t>
      </w:r>
      <w:r>
        <w:rPr>
          <w:rFonts w:ascii="Calibri" w:hAnsi="Calibri"/>
          <w:b w:val="0"/>
          <w:color w:val="3A4A28"/>
          <w:sz w:val="17"/>
        </w:rPr>
        <w:t>Blackstone Mortgage Trust — Corporate Governance and Investor Relations,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BXMT (Blackstone Mortgage Trust),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