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BXP</w:t>
      </w:r>
      <w:r>
        <w:rPr>
          <w:rFonts w:ascii="Calibri" w:hAnsi="Calibri"/>
          <w:b/>
          <w:color w:val="1A2010"/>
          <w:sz w:val="40"/>
        </w:rPr>
        <w:t xml:space="preserve">  BXP, Inc.</w:t>
      </w:r>
    </w:p>
    <w:p>
      <w:pPr>
        <w:spacing w:after="120"/>
      </w:pPr>
      <w:r>
        <w:rPr>
          <w:rFonts w:ascii="Calibri" w:hAnsi="Calibri"/>
          <w:b/>
          <w:color w:val="6E8450"/>
          <w:sz w:val="18"/>
        </w:rPr>
        <w:t>DIVIDEND SLEEVE · 2026-04-13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BXP (formerly Boston Properties) is the largest publicly traded developer, owner, and manager of premier Class A office properties in the U.S., with 179 properties and ~52.6M rentable square feet concentrated in six gateway markets: Boston, Los Angeles, New York, San Francisco, Seattle, and Washington, D.C.</w:t>
      </w:r>
    </w:p>
    <w:p>
      <w:r>
        <w:rPr>
          <w:rFonts w:ascii="Calibri" w:hAnsi="Calibri"/>
          <w:b/>
          <w:color w:val="6E8450"/>
          <w:sz w:val="18"/>
        </w:rPr>
        <w:t>800 Employees · https://www.bxp.com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FY2025 revenue fell 6.7% to $3.15B, though Q4 2025 revenue recovered 2.2% YoY to $877.1M with EPS of $1.56 vs. $0.49 prior-year quarter [1]. FY2025 FFO/share of $6.85 missed Zacks consensus of $6.90 [1]. AI Deployment (1/2): BXP is a beneficiary not developer of AI — San Francisco fundamentals improving on major AI tenant commitments (Anthropic, OpenAI, Crusoe contributing 1.4M+ SF of net absorption) [2]. Market Share (2/2): BXP is the largest publicly traded owner of Class A office in the U.S. with 52.6M SF across six gateway markets, with in-service occupancy at 86.7% (up 70bps sequentially) [1][3]. Pipeline (1/2): 2026 FFO/share guidance of $6.88-$7.04 brackets Zacks consensus of $7.01, implying modest improvement [1]. Development pipeline continues but tempered by cost of capital. R&amp;D Intensity (0/1): REITs do not carry R&amp;D; capital is deployed to development and acquisitions rather than innovation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BXP's purpose of building premier workplaces that shape cities is credible and backed by 60+ years of execution; mission is utilitarian rather than elevating. Community Impact (2/2): Achieved carbon-neutral operations (Scopes 1 and 2) in 2024 Sustainability &amp; Impact Report, Sustainalytics low-risk ESG rating with no major controversies, and longstanding Better Buildings partner [4]. Employee Retention (1/2): Glassdoor 4.1/5 (vs. 3.8 REIT industry avg) across 174 reviews; executive team averages 32 years of real estate experience and 21 years with BXP, showing low senior churn [5]. Insider Buying (0/2): No notable insider buying signal in recent filings; Owen Thomas has been CEO since 2013 with Chairman title since 2022.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BXP's financial profile is strained by office-REIT realities. Debt/equity is ~330% with $16.4B debt vs. $398M cash [3], reflecting the capital-intensive model but creating material refinancing risk in a higher-rate environment. P/E TTM of 30.5x and forward P/E of 27.6x are elevated vs. sector on depressed earnings; FY2025 revenue declined 6.7% and FFO missed [1][3]. Dividend yield of ~5.8% ($3.92 annual) is attractive but payout ratio on FFO is tight given flat FFO guidance [1][3]. ROE remains positive but profit margin and revenue growth trends are weak (Q4 2025 revenue growth only 2.2% YoY after a declining year). Occupancy at 86.7% is well below pre-pandemic norms, signaling continued demand headwinds outside of AI-driven SF submarkets [1][2]. Liquidity floor easily cleared at $52.54 × multi-million avg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BXP exhibits infinite-game behavior through a 60+ year build-and-hold franchise, carbon-neutrality commitment, and unusually long executive tenures, but near-term capital allocation and the structural office headwind force a more tactical posture. The Just Cause is coherent but the moat is more cyclical than enduring.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BXP's cause of building and operating premier workplaces in gateway cities is credible and durable but lacks the aspirational pull of companies with a higher social mission; the cause is more operational excellence than cultural elevation [5].</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Executive team averages 21 years at BXP and 32 years in real estate — exceptional continuity that signals a trusting, promote-from-within culture [5]. Glassdoor 4.1/5 supports the employee-experience narrative.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BXP competes with SL Green, Vornado, and Kilroy, each with similar gateway-city exposure; BXP clearly benchmarks against these peers on occupancy, rent spreads, and ESG metrics, using rivalry constructively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BXP is adjusting portfolio mix (leaning into AI-tenanted SF, life science conversions, select development starts) but the fundamental asset base is fixed — Class A office cannot pivot wholesale [2]. Flexibility is tactical, not existential.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Maintaining the dividend through the post-pandemic office downturn and committing to carbon-neutral operations required genuine conviction [4]. Leadership has not taken the easy route of deep dividend cuts or fire-sale dispositions, opting for patient capital recycling instead.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BXP owns the highest-quality Class A office portfolio in the U.S. gateway cities — exactly the asset class AI companies are aggressively leasing [2]. The company cleared 86.7% occupancy (up 70bps sequentially) with AI tenants (Anthropic, OpenAI, Crusoe) contributing 1.4M+ SF of SF net absorption, creating a genuine upside catalyst to a battered office REIT narrative [1][2]. A 5.8% dividend yield at $52.54 with 28 years of consistent dividend payments offers income support, and the executive team's 21-year average tenure suggests steady stewardship through the cycle [3][5]. At 27.6x forward P/E on depressed FFO, the valuation embeds recovery optionality if occupancy and rent spreads continue to improve.</w:t>
      </w:r>
    </w:p>
    <w:p>
      <w:pPr>
        <w:spacing w:after="120"/>
      </w:pPr>
      <w:r>
        <w:rPr>
          <w:rFonts w:ascii="Calibri" w:hAnsi="Calibri"/>
          <w:b w:val="0"/>
          <w:color w:val="3A4A28"/>
          <w:sz w:val="20"/>
        </w:rPr>
        <w:t>The bear case is material. FY2025 revenue declined 6.7% to $3.15B and FFO/share of $6.85 missed consensus, while 2026 FFO guidance of $6.88-$7.04 implies near-zero growth [1]. Debt/equity of 330% with $16.4B debt creates refinancing risk in a higher-rate environment; a spike in cap rates or a funding cost shock could pressure NAV and the dividend [3]. Office fundamentals remain structurally weaker than pre-pandemic, with hybrid work tools (partially AI-enabled) continuing to compress aggregate demand outside of trophy assets. The dividend has not grown materially in recent years (consecutive years growth 0), and the company's payout flexibility is constrained. If AI tenant absorption decelerates or a recession hits office demand broadly, BXP's leverage will amplify downside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tenant absorption (Anthropic, OpenAI, Crusoe) accelerating in San Francisco — if sustained, could pull BXP occupancy above 90% and reset FFO growth trajectory [2]</w:t>
      </w:r>
    </w:p>
    <w:p>
      <w:pPr>
        <w:spacing w:before="40" w:after="40"/>
        <w:ind w:left="283"/>
      </w:pPr>
      <w:r>
        <w:rPr>
          <w:rFonts w:ascii="Calibri" w:hAnsi="Calibri"/>
          <w:b/>
          <w:color w:val="4A6B25"/>
          <w:sz w:val="20"/>
        </w:rPr>
        <w:t xml:space="preserve">2. </w:t>
      </w:r>
      <w:r>
        <w:rPr>
          <w:rFonts w:ascii="Calibri" w:hAnsi="Calibri"/>
          <w:b w:val="0"/>
          <w:color w:val="3A4A28"/>
          <w:sz w:val="20"/>
        </w:rPr>
        <w:t>Fed rate cuts reducing refinancing costs on $16.4B debt load and compressing cap rates, supporting NAV recovery [3]</w:t>
      </w:r>
    </w:p>
    <w:p>
      <w:pPr>
        <w:spacing w:before="40" w:after="40"/>
        <w:ind w:left="283"/>
      </w:pPr>
      <w:r>
        <w:rPr>
          <w:rFonts w:ascii="Calibri" w:hAnsi="Calibri"/>
          <w:b/>
          <w:color w:val="4A6B25"/>
          <w:sz w:val="20"/>
        </w:rPr>
        <w:t xml:space="preserve">3. </w:t>
      </w:r>
      <w:r>
        <w:rPr>
          <w:rFonts w:ascii="Calibri" w:hAnsi="Calibri"/>
          <w:b w:val="0"/>
          <w:color w:val="3A4A28"/>
          <w:sz w:val="20"/>
        </w:rPr>
        <w:t>FY2026 FFO guidance of $6.88-$7.04 vs. $6.85 actual — modest growth after a declining year could signal a cyclical trough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330% debt/equity with $16.4B debt load creates refinancing risk if rates stay higher for longer or cap rates widen [3]</w:t>
      </w:r>
    </w:p>
    <w:p>
      <w:pPr>
        <w:spacing w:before="40" w:after="40"/>
        <w:ind w:left="283"/>
      </w:pPr>
      <w:r>
        <w:rPr>
          <w:rFonts w:ascii="Calibri" w:hAnsi="Calibri"/>
          <w:b/>
          <w:color w:val="4A6B25"/>
          <w:sz w:val="20"/>
        </w:rPr>
        <w:t xml:space="preserve">2. </w:t>
      </w:r>
      <w:r>
        <w:rPr>
          <w:rFonts w:ascii="Calibri" w:hAnsi="Calibri"/>
          <w:b w:val="0"/>
          <w:color w:val="3A4A28"/>
          <w:sz w:val="20"/>
        </w:rPr>
        <w:t>Structural office demand headwind from hybrid/remote work (partially enabled by AI collaboration tools) continues to pressure occupancy outside of trophy assets [2]</w:t>
      </w:r>
    </w:p>
    <w:p>
      <w:pPr>
        <w:spacing w:before="40" w:after="40"/>
        <w:ind w:left="283"/>
      </w:pPr>
      <w:r>
        <w:rPr>
          <w:rFonts w:ascii="Calibri" w:hAnsi="Calibri"/>
          <w:b/>
          <w:color w:val="4A6B25"/>
          <w:sz w:val="20"/>
        </w:rPr>
        <w:t xml:space="preserve">3. </w:t>
      </w:r>
      <w:r>
        <w:rPr>
          <w:rFonts w:ascii="Calibri" w:hAnsi="Calibri"/>
          <w:b w:val="0"/>
          <w:color w:val="3A4A28"/>
          <w:sz w:val="20"/>
        </w:rPr>
        <w:t>FY2025 revenue declined 6.7% to $3.15B and FFO missed consensus — 2026 guidance implies near-zero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Office REITs face a bifurcated AI story — remote work enabled by AI collaboration tools reduces aggregate office demand, but AI leaders require premium Class A space in gateway cities, which is exactly BXP's portfolio [2]. The risk is that hybrid-work productivity tools extend the structural downshift in office demand. AI Opportunity (1/1): BXP is directly benefiting from AI tenant demand — Anthropic, OpenAI, and Crusoe contributed 1.4M+ SF of net absorption in San Francisco, the most AI-exposed market in BXP's portfolio [2]. If AI firms continue scaling physical footprints, BXP could become a prime beneficiary among office REITs.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BXP Q4 and Full Year 2025 Earnings Release — $877.1M Q4 revenue, $6.85 FY2025 FFO/share,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BXP Q4 2025 earnings commentary on AI tenant demand (Anthropic, OpenAI, Crusoe) and San Francisco net absorption, February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BXP price $52.54, P/E 30.5x, forward P/E 27.6x, D/E 330%, yield 5.8%,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BXP 2024 Sustainability &amp; Impact Report — carbon-neutral Scopes 1 and 2 operations achieved</w:t>
      </w:r>
    </w:p>
    <w:p>
      <w:pPr>
        <w:spacing w:before="20" w:after="20"/>
        <w:ind w:left="170"/>
      </w:pPr>
      <w:r>
        <w:rPr>
          <w:rFonts w:ascii="Calibri" w:hAnsi="Calibri"/>
          <w:b/>
          <w:color w:val="4A6B25"/>
          <w:sz w:val="15"/>
        </w:rPr>
        <w:t xml:space="preserve">5. </w:t>
      </w:r>
      <w:r>
        <w:rPr>
          <w:rFonts w:ascii="Calibri" w:hAnsi="Calibri"/>
          <w:b w:val="0"/>
          <w:color w:val="3A4A28"/>
          <w:sz w:val="17"/>
        </w:rPr>
        <w:t>Glassdoor (4.1/5, 174 reviews) and BXP Management profiles (Owen Thomas CEO since 2013, Chairman since 2022)</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