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BXSL</w:t>
      </w:r>
      <w:r>
        <w:rPr>
          <w:rFonts w:ascii="Calibri" w:hAnsi="Calibri"/>
          <w:b/>
          <w:color w:val="1A2010"/>
          <w:sz w:val="40"/>
        </w:rPr>
        <w:t xml:space="preserve">  Blackstone Secured Lending Fund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2026-04-12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Blackstone Secured Lending Fund is an externally managed business development company (BDC) that invests primarily in first-lien senior secured debt of private US middle-market companies. As of September 30, 2025, BXSL held approximately $13.8B of investments and is advised by Blackstone Credit &amp; Insurance.</w:t>
      </w:r>
    </w:p>
    <w:p>
      <w:r>
        <w:rPr>
          <w:rFonts w:ascii="Calibri" w:hAnsi="Calibri"/>
          <w:b/>
          <w:color w:val="6E8450"/>
          <w:sz w:val="18"/>
        </w:rPr>
        <w:t>https://www.bxsl.com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Under Blackstone's private credit platform, BXSL has grown fair value of investments to ~$13.8B as of September 30, 2025 and has consistently earned net investment income above its dividend — a solid incremental execution record but not transformative [1]. AI Deployment (1/2): Blackstone is piloting AI tools for portfolio monitoring and underwriting in its credit business, but BXSL itself is not an AI-product deploying entity. Market Share (1/2): BXSL is one of the largest publicly traded BDCs and part of Blackstone's ~$395B private credit platform, but private credit is fragmented — no definitive category leadership [1][2]. Pipeline (1/2): Blackstone continues to originate in first-lien senior secured debt, with Q1 2026 dividend of $0.77/share declared [1]; but the private credit market is now facing defaults and AI-related risks rising from ~2-2.5% historical default rate potentially toward 8% per Morgan Stanley [2]. R&amp;D Intensity (0/1): Not applicable to a BDC — no R&amp;D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BXSL's objective is 'to generate current income and, to a lesser extent, long-term capital appreciation' via senior secured first-lien lending — clear but not distinctive, and BXSL explicitly states it does not pursue an ESG-based investment strategy [4]. Community Impact (0/2): As a BDC, no meaningful direct community programs; externally managed with no employees of its own. Employee Retention (1/2): Blackstone Inc. is certified a Great Place to Work with 91% of employees rating it positively vs 57% typical US employer [2]. Insider Buying (1/2): Blackstone management holds meaningful alignment; no reported major net insider buying at BXSL specifically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BXSL pays a $3.08 annual dividend (~13.2% yield) including the Q1 2026 $0.77 per share declared [1]. Net investment income per share of $0.82 exceeds the $0.77 quarterly dividend, providing ~107% coverage [1]. Payout ratio near 94% (high but typical for a BDC required to distribute 90%+ of taxable income). BDC D/E typically ~100-115% (regulatory leverage limit ~200%); ROE ~11-12% based on NII. No pure forward P/E comparable — BDCs trade on NAV. Revenue growth modest as the private credit market matures. Liquidity easily cleared: ~2M avg vol × ~$27 stock price = ~$54M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BXSL benefits from Blackstone's 40-year multi-asset alternative asset management platform with genuine institutional culture, but it's a relatively young BDC (2018 formation, 2021 IPO) in a cyclical asset class now facing its first real stress test from AI-driven defaults. Long-term Blackstone platform has infinite game characteristics; this specific BDC is more tactical.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Blackstone's broader mission 'to create positive economic impact and long-term value for investors' is clear at the parent level [2], but BXSL's stated objective of 'current income and long-term capital appreciation' via senior secured lending is a financial product framing rather than a true Just Cause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Blackstone Inc. is certified a Great Place to Work with 91% of employees rating it great vs 57% at a typical US employer — meaningful culture signal [2]. BXSL is externally managed and does not have its own employees; it inherits the adviser's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Private credit has many worthy rivals (Ares, Apollo, Blue Owl, Golub); Blackstone generally frames the market as expansion opportunity rather than zero-sum competition, but BXSL's documents focus more on its own portfolio metrics than learning from peers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Blackstone built private credit into a ~$395B platform over a decade — meaningful strategic adaptation for a firm historically known for PE and real estate [2]. BXSL itself has been more of a steady-state product vehicle than a flexible pivoter.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Maintaining the $0.77 quarterly dividend while the broader BDC sector faces AI-driven credit stress shows willingness to stand by the strategy [1], but the real test of courage will come if defaults rise toward Morgan Stanley's 8% scenario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Blackstone Secured Lending is one of the largest publicly traded BDCs with $13.8B of investments as of Q3 2025, backed by Blackstone's ~$395B private credit platform [1][2]. The ~13.2% yield ($3.08 annual, $0.77 Q1 2026) is covered by net investment income of $0.82 per share (107% coverage), and the portfolio is concentrated in first-lien senior secured debt — the top of the capital stack and lowest risk tranche within private credit [1]. For income investors, BXSL offers a high-yield vehicle with Blackstone's underwriting brand and disciplined first-lien focus. Blackstone Inc. is a Great Place to Work certified with 91% positive employee rating, indicating the adviser's institutional quality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 dominates the AI-era narrative: Morgan Stanley warns private credit direct lending default rates could surge to 8% versus the 2-2.5% historical average, with AI disruption concentrated in software/technology sectors that represent 20%+ of BDC portfolios [2]. BCRED (Blackstone's retail private credit fund with overlapping portfolio construction) posted its first monthly loss in three years in February 2026 and saw a surge in redemption requests — an early warning signal [2]. Morgan Stanley estimates software exposure in direct lending at ~26%, and agentic AI is disrupting SaaS unit economics, potentially leading to margin compression and defaults among BXSL's borrowers. BXSL explicitly does not pursue an ESG-based strategy and has a 'poor' MSCI ESG rating, which limits its appeal to ESG-oriented capital [4]. BDC structure forces 90%+ distribution of taxable income, leaving little retained capital cushion if losses accelerate. Payout ratio of ~94% means any NII decline pressures dividend coverage quickly.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Net investment income coverage of dividend — $0.82 NII vs $0.77 dividend (107% coverage) if maintained supports distribution stability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Blackstone's $395B private credit platform scale enables selective origination and workout capability in a stress cycle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rate cuts reducing cost of BDC leverage and boosting net interest margin if the Fed eases through 2026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AI-driven software defaults — Morgan Stanley warns private credit default rates could surge to 8% vs 2-2.5% historical, concentrated in BXSL's software/tech exposure (~26% of direct lending)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BCRED February 2026 first monthly loss in 3 years and redemption surge signal broader private credit stress beginning to materialize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High dividend payout ratio (~94%) leaves minimal buffer for NII deterioration; any credit event pressures distribution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BXSL is directly exposed to AI-driven disruption risk in private credit. Morgan Stanley estimates software exposure in direct lending at ~26%, and software/technology represents 20%+ of BDC investments — precisely the sectors where agentic AI is threatening the SaaS model [2]. BCRED (Blackstone's retail private credit fund with overlapping portfolio construction) posted its first monthly loss in three years in February 2026 and experienced a surge in redemption requests [2]. Morgan Stanley warns private credit direct lending default rates could surge to 8% versus 2-2.5% historical, with AI disruption concentrated in BXSL's core portfolio sectors [2]. AI Opportunity (0/1): No meaningful AI revenue — BXSL is a lender, not an AI product company.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BXSL Q1 2026 $0.77 dividend declaration and Q4/Full Year 2025 earnings — $13.8B investments, NII $0.82/share, January-February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CNBC, Morgan Stanley, BIS, Bloomberg reporting on private credit AI disruption and default risk; Great Place to Work Blackstone certification, February-April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BXSL 2022-2023 Investor Presentations and fund overview materials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BXSL / Blackstone Secured Lending disclosures on ESG strategy and MSCI ESG rating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