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w:t>
      </w:r>
      <w:r>
        <w:rPr>
          <w:rFonts w:ascii="Calibri" w:hAnsi="Calibri"/>
          <w:b/>
          <w:color w:val="1A2010"/>
          <w:sz w:val="40"/>
        </w:rPr>
        <w:t xml:space="preserve">  Blackstone Inc.</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Blackstone is the world's largest alternative asset manager with $1.27 trillion in AUM across private equity, real estate, credit and insurance, and infrastructure. The firm is the largest global builder of AI data centers and operates perpetual capital vehicles representing over 40% of total AUM.</w:t>
      </w:r>
    </w:p>
    <w:p>
      <w:r>
        <w:rPr>
          <w:rFonts w:ascii="Calibri" w:hAnsi="Calibri"/>
          <w:b/>
          <w:color w:val="6E8450"/>
          <w:sz w:val="18"/>
        </w:rPr>
        <w:t>5,285 Employees · https://www.blackstone.com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Blackstone has successfully transformed from a buyout shop into the world's largest alternative asset manager, with the dedicated infrastructure platform growing 40% YoY to $77B in AUM and the AirTrunk acquisition ($14.9B) establishing dominance in Asia-Pacific AI data centers [1][2]. Credit and insurance AUM grew 18% to $443B, and private wealth AUM reached $300B (up 16%) [1]. AI Deployment (1/2): Blackstone has recruited data scientists and deployed predictive analytics and generative AI across portfolio company risk assessment. Schwarzman personally mandates AI adoption in quarterly calls with portfolio company CEOs [2]. However, AI is used internally for deal evaluation rather than shipped as a revenue-generating product to external customers. Market Share (2/2): At $1.27T AUM, Blackstone is the undisputed global leader in alternative assets, with record inflows of $240B in 2025 and Q4 inflows of $71B — the highest in 3.5 years [1]. Pipeline (1/2): The firm has one of its largest IPO pipelines in history, is targeting $50B+ in new PE drawdown fundraising, and Schwarzman projects $2T in global data center capex creating 'unprecedented opportunities' [1][2]. R&amp;D Intensity (0/1): As an asset manager, Blackstone does not have meaningful R&amp;D spending relative to revenue — innovation comes through deal-making and platform building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Blackstone's stated purpose centers on creating value for investors and portfolio companies — a clear but standard financial services mission that doesn't articulate a vision of a better future beyond wealth creation [2]. Community Impact (2/2): Steve Schwarzman has donated approximately $500M to AI education and research, including $350M to MIT (Schwarzman College of Computing) and over £190M to Oxford (Schwarzman Centre for the Humanities), representing distinctive, large-scale philanthropy focused on ensuring ethical AI development [2]. Employee Retention (1/2): Blackstone maintains exceptional leadership continuity — Jonathan Gray has served as President since 2018 with clear CEO succession, and the senior team has been stable for years. The firm consistently ranks as a top employer in finance [2]. Insider Buying (1/2): Director Ruth Porat (former Alphabet CFO) purchased shares in both November 2025 (~$59K) and February 2026 (~$69K), demonstrating conviction, though the amounts are modest relative to her net worth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Blackstone's financial profile is exceptionally strong. D/E of 66.5% reflects moderate leverage appropriate for an alternative asset manager [4]. ROE of 29.2% demonstrates strong capital efficiency. Revenue surged 50.6% YoY with management fees rising 12% to $8B, providing a stable base, while net realizations grew 50% to $2.1B [1]. Profit margin of 21.2% with FRE margin expanding 100bps to a new high. Forward P/E of 13.8x is attractive for a company with $1.27T AUM growing 13% annually [1][4]. Five-year revenue CAGR of approximately 15.3%. The dividend yield of 4.39% is substantial, with 17+ consecutive years of payments and 19.7% five-year dividend growth CAGR, though the 121.9% payout ratio reflects performance-fee-driven variable distributions [4]. Operating cash flow of $4.66B. Liquidity floor cleared: 7.8M avg vol × $108.07 = $847M.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Blackstone under Schwarzman has built a 40-year institution that has consistently evolved its business model, demonstrating genuine long-term thinking through massive early bets on AI infrastructure and $500M in AI education philanthropy. However, the firm's orientation toward being the biggest and most profitable — Schwarzman's stated goal to double AUM to $2T — reflects finite game thinking focused on winning metrics rather than advancing a transcendent cause beyond wealth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Blackstone's purpose is fundamentally about creating wealth for investors and growing AUM — Schwarzman's stated ambition is to double AUM to $2T before retiring [2]. While legitimate, this is a finite goal (a specific number to hit) rather than a Just Cause (a vision of a better future so appealing people sacrifice for it). The firm's AI data center investments serve commercial returns, not a transcendent mission. Sinek would note that 'becoming the world's largest' is a finite game by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Blackstone maintains exceptional leadership stability with a clear succession plan — Jonathan Gray as President is the widely expected next CEO [2]. The firm's 5,285 employees generate $2.7M in revenue per head, suggesting a high-performance culture. Schwarzman's quarterly portfolio company CEO calls demonstrate engaged leadership. However, private equity culture broadly is competitive and performance-driven, and there is no specific evidence of exceptional psychological safety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Schwarzman's competitive language is consistently about being the biggest, the best, and the first — 'world's largest AI infrastructure investor,' 'best results in 40 years,' 'largest IPO pipeline in history' [1][2]. This is quintessential finite game language focused on winning market position. No evidence of management citing worthy rivals whose strengths push Blackstone to improve. The competitive framing is about dominance, not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Blackstone has meaningfully evolved from leveraged buyouts to a diversified platform spanning PE, real estate, credit/insurance ($443B), infrastructure ($77B), and private wealth ($300B) [1]. The aggressive pivot into AI data center infrastructure represents the latest strategic evolution. Each expansion opened entirely new capital pools and revenue streams. However, the core business model — raising capital and deploying it for management fees and carry —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Schwarzman's early and massive bet on AI data center infrastructure — deploying $10B+ when the AI narrative was still speculative — demonstrates genuine conviction and willingness to make large, concentrated investments [2]. The $14.9B AirTrunk acquisition was Blackstone's largest-ever Asia-Pacific deal. His $500M in personal philanthropy for AI education at MIT and Oxford shows commitment beyond financial returns. However, these bets are made with LP capital (not shareholders') and align with, rather than sacrifice,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is the world's dominant alternative asset manager delivering record 2025 results — distributable earnings of $7.1B (up 20%), AUM of $1.27T (up 13%), and Q4 inflows of $71B (highest in 3.5 years) [1]. At 13.8x forward P/E with 4.39% dividend yield, the stock offers compelling value for a company positioned at the intersection of every major capital allocation trend: AI infrastructure ($77B platform, 40% growth), private credit ($443B, 18% growth), and private wealth ($300B, 16% growth) [1][4]. The firm's Q1 2026 intra-quarter realization update projects $680M+ in performance revenues, signaling continued monetization momentum. EPS is expected to reach $10.41 in 2026 (up 28%) and $12.8 in 2027, with $200B of dry powder for deployment [1]. Schwarzman's vision of $2T in global data center capex positions Blackstone as the essential financier of AI buildout [2].</w:t>
      </w:r>
    </w:p>
    <w:p>
      <w:pPr>
        <w:spacing w:after="120"/>
      </w:pPr>
      <w:r>
        <w:rPr>
          <w:rFonts w:ascii="Calibri" w:hAnsi="Calibri"/>
          <w:b w:val="0"/>
          <w:color w:val="3A4A28"/>
          <w:sz w:val="20"/>
        </w:rPr>
        <w:t>The bear case centers on market cyclicality, payout sustainability, and key-man risk. The 121.9% payout ratio reflects variable distributions tied to performance fees — in down markets (2022-2023, dividends dropped from $4.94 to $3.32), income investors face significant volatility [4]. Revenue of $14.2B includes substantial performance fees that are inherently lumpy and market-dependent; the 50.6% YoY revenue growth is unsustainable and reflects favorable realization timing [1]. Blackstone's real estate portfolio ($317B AUM) faces headwinds from persistently high interest rates and office vacancy concerns. The Gavin coal plant controversy highlights ESG governance gaps — the firm's fossil fuel holdings contradict its decarbonization messaging [5]. Steve Schwarzman's dominant leadership creates succession risk despite Jonathan Gray's capable positioning. At $132B market cap, the stock prices in significant AUM growth and realization activity that could disappoint in a risk-off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infrastructure investment cycle — Blackstone is the world's largest builder with $77B infrastructure AUM growing 40%, positioned for $2T in projected global data center capex [1][2]</w:t>
      </w:r>
    </w:p>
    <w:p>
      <w:pPr>
        <w:spacing w:before="40" w:after="40"/>
        <w:ind w:left="283"/>
      </w:pPr>
      <w:r>
        <w:rPr>
          <w:rFonts w:ascii="Calibri" w:hAnsi="Calibri"/>
          <w:b/>
          <w:color w:val="4A6B25"/>
          <w:sz w:val="20"/>
        </w:rPr>
        <w:t xml:space="preserve">2. </w:t>
      </w:r>
      <w:r>
        <w:rPr>
          <w:rFonts w:ascii="Calibri" w:hAnsi="Calibri"/>
          <w:b w:val="0"/>
          <w:color w:val="3A4A28"/>
          <w:sz w:val="20"/>
        </w:rPr>
        <w:t>Record IPO pipeline expected to unlock significant realization revenue in 2026 as private equity exits accelerate [1]</w:t>
      </w:r>
    </w:p>
    <w:p>
      <w:pPr>
        <w:spacing w:before="40" w:after="40"/>
        <w:ind w:left="283"/>
      </w:pPr>
      <w:r>
        <w:rPr>
          <w:rFonts w:ascii="Calibri" w:hAnsi="Calibri"/>
          <w:b/>
          <w:color w:val="4A6B25"/>
          <w:sz w:val="20"/>
        </w:rPr>
        <w:t xml:space="preserve">3. </w:t>
      </w:r>
      <w:r>
        <w:rPr>
          <w:rFonts w:ascii="Calibri" w:hAnsi="Calibri"/>
          <w:b w:val="0"/>
          <w:color w:val="3A4A28"/>
          <w:sz w:val="20"/>
        </w:rPr>
        <w:t>Q1 2026 intra-quarter realization update of $680M+ in performance revenues signals strong monetization momentum ahead of April 16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Variable distribution model — 121.9% payout ratio means dividends are tied to lumpy performance fees; in 2023, annual distributions fell 33% from $4.94 to $3.32 when realizations slowed [4]</w:t>
      </w:r>
    </w:p>
    <w:p>
      <w:pPr>
        <w:spacing w:before="40" w:after="40"/>
        <w:ind w:left="283"/>
      </w:pPr>
      <w:r>
        <w:rPr>
          <w:rFonts w:ascii="Calibri" w:hAnsi="Calibri"/>
          <w:b/>
          <w:color w:val="4A6B25"/>
          <w:sz w:val="20"/>
        </w:rPr>
        <w:t xml:space="preserve">2. </w:t>
      </w:r>
      <w:r>
        <w:rPr>
          <w:rFonts w:ascii="Calibri" w:hAnsi="Calibri"/>
          <w:b w:val="0"/>
          <w:color w:val="3A4A28"/>
          <w:sz w:val="20"/>
        </w:rPr>
        <w:t>Real estate portfolio ($317B AUM) faces headwinds from elevated interest rates and persistent office vacancy rates, with management guiding flat real estate management fees near-term [1]</w:t>
      </w:r>
    </w:p>
    <w:p>
      <w:pPr>
        <w:spacing w:before="40" w:after="40"/>
        <w:ind w:left="283"/>
      </w:pPr>
      <w:r>
        <w:rPr>
          <w:rFonts w:ascii="Calibri" w:hAnsi="Calibri"/>
          <w:b/>
          <w:color w:val="4A6B25"/>
          <w:sz w:val="20"/>
        </w:rPr>
        <w:t xml:space="preserve">3. </w:t>
      </w:r>
      <w:r>
        <w:rPr>
          <w:rFonts w:ascii="Calibri" w:hAnsi="Calibri"/>
          <w:b w:val="0"/>
          <w:color w:val="3A4A28"/>
          <w:sz w:val="20"/>
        </w:rPr>
        <w:t>Key-man risk around Steve Schwarzman (78 years old) — despite strong succession planning with Jonathan Gray, Schwarzman's relationships, vision, and brand are deeply embedded in Blackstone's competitive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Alternative asset management is deeply relationship-driven and requires human judgment in due diligence, deal structuring, negotiation, and LP relationship management that AI cannot replicate [2]. Blackstone's competitive moat is its institutional relationships, proprietary deal flow, and brand — none of which are substitutable by AI. Furthermore, Blackstone is a direct beneficiary of AI adoption as the world's largest AI data center builder, with investments including the $14.9B AirTrunk acquisition and $10B+ deployed in QTS data centers serving Microsoft, Google, and other hyperscalers [2]. AI increases demand for the physical infrastructure Blackstone finances and owns. AI Opportunity (1/1): Blackstone generates substantial revenue from AI-related investments — its infrastructure platform ($77B AUM, growing 40%) is heavily concentrated in AI data centers, and Schwarzman projects $2T in global data center capex creating investment opportunities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Q4 and Full Year 2025 Earnings Release — $1.27T AUM, $7.1B distributable earnings, record inflows, January 29, 2026</w:t>
      </w:r>
    </w:p>
    <w:p>
      <w:pPr>
        <w:spacing w:before="20" w:after="20"/>
        <w:ind w:left="170"/>
      </w:pPr>
      <w:r>
        <w:rPr>
          <w:rFonts w:ascii="Calibri" w:hAnsi="Calibri"/>
          <w:b/>
          <w:color w:val="4A6B25"/>
          <w:sz w:val="15"/>
        </w:rPr>
        <w:t xml:space="preserve">2. </w:t>
      </w:r>
      <w:r>
        <w:rPr>
          <w:rFonts w:ascii="Calibri" w:hAnsi="Calibri"/>
          <w:b w:val="0"/>
          <w:color w:val="3A4A28"/>
          <w:sz w:val="17"/>
        </w:rPr>
        <w:t>Institutional Investor — 'How Blackstone Sprinted Ahead of Its Peers in AI'; Bloomberg — Schwarzman AI data center investments,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BX insider transactions, Ruth Porat purchases,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BX key statistics and financial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Private Equity Stakeholder Project — Blackstone ESG practices and fossil fuel investment disclosures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