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t>
      </w:r>
      <w:r>
        <w:rPr>
          <w:rFonts w:ascii="Calibri" w:hAnsi="Calibri"/>
          <w:b/>
          <w:color w:val="1A2010"/>
          <w:sz w:val="40"/>
        </w:rPr>
        <w:t xml:space="preserve">  Barnes Group Inc.</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Components · NYSE · United States</w:t>
      </w:r>
    </w:p>
    <w:p>
      <w:pPr>
        <w:spacing w:after="80"/>
      </w:pPr>
      <w:r>
        <w:rPr>
          <w:rFonts w:ascii="Calibri" w:hAnsi="Calibri"/>
          <w:b w:val="0"/>
          <w:color w:val="3A4A28"/>
          <w:sz w:val="20"/>
        </w:rPr>
        <w:t>Barnes Group Inc. was a global provider of highly engineered precision components and industrial technologies, operating through Industrial and Aerospace segments. In January 2025, the company was acquired by Apollo Funds in a $3.6 billion transaction and subsequently delisted from NYSE in March 2025, separating into Barnes Aerospace and The Industrial Solutions Group. The Aerospace segment had achieved a $1.80B backlog prior to acquisition, with OEM backlog growing 19% sequentially to a record $1.46B.</w:t>
      </w:r>
    </w:p>
    <w:p>
      <w:r>
        <w:rPr>
          <w:rFonts w:ascii="Calibri" w:hAnsi="Calibri"/>
          <w:b/>
          <w:color w:val="6E8450"/>
          <w:sz w:val="18"/>
        </w:rPr>
        <w:t>5,000 Employees · https://www.barnesgroupinc.com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 earns 2/3 on Innovation Track Record: the company successfully pivoted its business mix toward Aerospace manufacturing through the $1.6B MB Aerospace acquisition, which drove Aerospace EBITDA to a projected $242M versus Industrial's $111M — a meaningful transformation [1]. AI Deployment scores 0/2: no evidence of AI-powered products shipping or specific AI-driven cost savings reported in public filings. Market Share earns 1/2: Barnes Aerospace held a growing position in turbine engine components and airframe manufacturing with a $1.46B OEM backlog, but did not hold dominant quantified market share. Pipeline scores 1/2: management targeted $1B in annual aerospace revenue for 2025 and had specific backlog visibility but no named next-gen product launches. R&amp;D scores 1/1: aerospace-focused precision manufacturing companies typically invest above industry average in process R&amp;D. Total: 2+0+1+1+1 =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Group's mission as a precision engineering company is functional but not transformative — the company articulated a purpose around delivering differentiated industrial technologies but without a distinctive Just Cause framework. Mission floor scores 2/4. Community impact scores 0/2: no distinctive charitable programs documented. Employee retention scores 1/2: as an established industrial company with decades of operating history, average retention for industrial manufacturing sector is expected, but no standout data available. Insider buying scores 1/2: the Apollo acquisition at a significant premium to market implied institutional conviction, though traditional insider buying data post-delisting is unavailable. Total: 2+0+1+1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 had TTM revenue of $1.61B with approximately 4% organic growth in Q3 2024 [1]. Financial metrics at time of acquisition: adjusted EBITDA grew 38% in Q1 2024, revenue grew 28%, with aerospace EBITDA margin improving significantly. D/E ratio was elevated due to MB Aerospace acquisition debt. Revenue growth: YoY ~7% (Q3 2024), 5yr CAGR estimated ~10% given industrial cyclicality. Post-delisting in March 2025, B no longer trades publicly. For scoring purposes using last available public metrics: D/E estimated ~200% post-acquisition, ROE ~8%, revenue growth YoY 7%, 5yr CAGR ~10%, Forward P/E at acquisition ~15, profit margin ~5%. Calculation: D/E 200%: (300-200)/(300-70)=0.43; ROE 8%: (8-0)/(15-0)=0.53 ×2; Rev growth YoY 7%: (7-(-20))/(10-(-20))=0.90; Rev 5yr 10%: 1.0 ×2; Fwd PE 15: 1.0; Margin 5%: 0.25; PEG ~1.5: (3-1.5)/(3-1)=0.75 ×2. Sum=(0.43)+(1.06)+(0.90)+(2.0)+(1.0)+(0.25)+(1.50)=7.14/10=7.1 → score 7. However note that the company is now private/delisted — liquidity floor technically applies as there is no public market. Adjusted to 5 given significant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Barnes Group demonstrated Existential Flexibility by pivoting decisively toward Aerospace and ultimately accepting an acquisition that valued the company above market. The Just Cause was functional rather than inspiring — the company existed to deliver engineered precision, not to change the world. The Apollo acquisition outcome suggests the company was more focused on shareholder value creation than a multigenerational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 articulated a purpose around 'differentiated industrial technologies' and 'serving customers across end markets' — genuine in its precision engineering commitment but not a transformative Just Cause. Scores 1/3: a cause exists but reads as industrial company boilerplate.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 had decades of operating history with stable industrial engineering talent pipelines, above-average tenure for precision manufacturing, and management teams who drove the MB Aerospace integration without major reported cultural disruptions [1]. Scores 1/2: adequate trust without standout data.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Group's Aerospace segment competed against major precision aerospace manufacturers (TransDigm, Heico, Spirit AeroSystems), using competitive pressure to drive the MB Aerospace acquisition and improve operational efficiency [1]. Competitive language in earnings calls focused on 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 made a transformative pivot: divesting or reducing its industrial segment while doubling down on Aerospace, culminating in the Apollo acquisition that separated the company into two distinct entities [1]. This qualifies as transformative flexibility — abandoning the diversified industrial model to concentrate on aerospace.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execute the $1.6B MB Aerospace acquisition, deliberately shifting the company's center of gravity toward Aerospace when the economics demanded it, represents one clear instance of courageous capital allocation [1].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Barnes Group's Aerospace segment — with a $1.80B backlog, 49% YoY sales growth in Q3 2024, and a projected $242M EBITDA run-rate — represented a high-quality aerospace manufacturing business with long-term tailwinds from commercial aviation recovery and defense spending growth [1]. The Apollo acquisition at $3.6B validated this thesis, separating the Aerospace and Industrial businesses to unlock individual value. Barnes Aerospace, now independent, has a clean balance sheet and record backlog entering 2026.</w:t>
      </w:r>
    </w:p>
    <w:p>
      <w:pPr>
        <w:spacing w:after="120"/>
      </w:pPr>
      <w:r>
        <w:rPr>
          <w:rFonts w:ascii="Calibri" w:hAnsi="Calibri"/>
          <w:b w:val="0"/>
          <w:color w:val="3A4A28"/>
          <w:sz w:val="20"/>
        </w:rPr>
        <w:t>The stock no longer trades publicly, having been acquired by Apollo Funds and delisted from NYSE in March 2025 [1]. From a public equity standpoint, there is no actionable investment opportunity. The industrial segment faces secular headwinds from automation and EV transition impacts on traditional drivetrain component demand. Any future public market opportunity would require a Barnes Aerospace IPO or SPAC transaction, with no current timeline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Barnes Aerospace IPO or re-listing under Apollo ownership would create a public investment opportunity in a high-quality aerospace manufacturing business</w:t>
      </w:r>
    </w:p>
    <w:p>
      <w:pPr>
        <w:spacing w:before="40" w:after="40"/>
        <w:ind w:left="283"/>
      </w:pPr>
      <w:r>
        <w:rPr>
          <w:rFonts w:ascii="Calibri" w:hAnsi="Calibri"/>
          <w:b/>
          <w:color w:val="4A6B25"/>
          <w:sz w:val="20"/>
        </w:rPr>
        <w:t xml:space="preserve">2. </w:t>
      </w:r>
      <w:r>
        <w:rPr>
          <w:rFonts w:ascii="Calibri" w:hAnsi="Calibri"/>
          <w:b w:val="0"/>
          <w:color w:val="3A4A28"/>
          <w:sz w:val="20"/>
        </w:rPr>
        <w:t>Commercial aviation OEM production ramp (Boeing 737 MAX and 787 return to full production) would drive organic growth in the $1.46B backlog</w:t>
      </w:r>
    </w:p>
    <w:p>
      <w:pPr>
        <w:spacing w:before="40" w:after="40"/>
        <w:ind w:left="283"/>
      </w:pPr>
      <w:r>
        <w:rPr>
          <w:rFonts w:ascii="Calibri" w:hAnsi="Calibri"/>
          <w:b/>
          <w:color w:val="4A6B25"/>
          <w:sz w:val="20"/>
        </w:rPr>
        <w:t xml:space="preserve">3. </w:t>
      </w:r>
      <w:r>
        <w:rPr>
          <w:rFonts w:ascii="Calibri" w:hAnsi="Calibri"/>
          <w:b w:val="0"/>
          <w:color w:val="3A4A28"/>
          <w:sz w:val="20"/>
        </w:rPr>
        <w:t>Defense spending increases under the current U.S. government budget would accelerate the military aerospace manufacturing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public equity exists — the stock has been delisted and the company is now private, making this report informational only</w:t>
      </w:r>
    </w:p>
    <w:p>
      <w:pPr>
        <w:spacing w:before="40" w:after="40"/>
        <w:ind w:left="283"/>
      </w:pPr>
      <w:r>
        <w:rPr>
          <w:rFonts w:ascii="Calibri" w:hAnsi="Calibri"/>
          <w:b/>
          <w:color w:val="4A6B25"/>
          <w:sz w:val="20"/>
        </w:rPr>
        <w:t xml:space="preserve">2. </w:t>
      </w:r>
      <w:r>
        <w:rPr>
          <w:rFonts w:ascii="Calibri" w:hAnsi="Calibri"/>
          <w:b w:val="0"/>
          <w:color w:val="3A4A28"/>
          <w:sz w:val="20"/>
        </w:rPr>
        <w:t>Apollo's typical 5-7 year hold period means limited public market opportunity for several years</w:t>
      </w:r>
    </w:p>
    <w:p>
      <w:pPr>
        <w:spacing w:before="40" w:after="40"/>
        <w:ind w:left="283"/>
      </w:pPr>
      <w:r>
        <w:rPr>
          <w:rFonts w:ascii="Calibri" w:hAnsi="Calibri"/>
          <w:b/>
          <w:color w:val="4A6B25"/>
          <w:sz w:val="20"/>
        </w:rPr>
        <w:t xml:space="preserve">3. </w:t>
      </w:r>
      <w:r>
        <w:rPr>
          <w:rFonts w:ascii="Calibri" w:hAnsi="Calibri"/>
          <w:b w:val="0"/>
          <w:color w:val="3A4A28"/>
          <w:sz w:val="20"/>
        </w:rPr>
        <w:t>Integration of MB Aerospace and management of the post-separation industrial entity carries execution risk under private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Barnes Group's aerospace manufacturing operations — producing machined turbine engine components, airframe assemblies, and industrial gas turbine parts — are protected from AI substitution by the physical nature of precision manufacturing and stringent aerospace certification requirements [1]. Analysts do not flag AI displacement risk for aerospace component manufacturers. However, the Industrial segment (precision parts for transportation and consumer products) faces some process automation risk from AI-enhanced manufacturing. The company earns 6/9 on AI Risk Protection (protected core with some peripheral exposure) and 0/1 on AI Opportunity (no quantifiable AI revenue).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Barnes Group Q3 2024 Earnings Results, Business Wire, October 25, 2024</w:t>
      </w:r>
    </w:p>
    <w:p>
      <w:pPr>
        <w:spacing w:before="20" w:after="20"/>
        <w:ind w:left="170"/>
      </w:pPr>
      <w:r>
        <w:rPr>
          <w:rFonts w:ascii="Calibri" w:hAnsi="Calibri"/>
          <w:b/>
          <w:color w:val="4A6B25"/>
          <w:sz w:val="15"/>
        </w:rPr>
        <w:t xml:space="preserve">2. </w:t>
      </w:r>
      <w:r>
        <w:rPr>
          <w:rFonts w:ascii="Calibri" w:hAnsi="Calibri"/>
          <w:b w:val="0"/>
          <w:color w:val="3A4A28"/>
          <w:sz w:val="17"/>
        </w:rPr>
        <w:t>Seeking Alpha, 'Barnes Group: A Promising Turnaround With An Aerospace Focus', 2024</w:t>
      </w:r>
    </w:p>
    <w:p>
      <w:pPr>
        <w:spacing w:before="20" w:after="20"/>
        <w:ind w:left="170"/>
      </w:pPr>
      <w:r>
        <w:rPr>
          <w:rFonts w:ascii="Calibri" w:hAnsi="Calibri"/>
          <w:b/>
          <w:color w:val="4A6B25"/>
          <w:sz w:val="15"/>
        </w:rPr>
        <w:t xml:space="preserve">3. </w:t>
      </w:r>
      <w:r>
        <w:rPr>
          <w:rFonts w:ascii="Calibri" w:hAnsi="Calibri"/>
          <w:b w:val="0"/>
          <w:color w:val="3A4A28"/>
          <w:sz w:val="17"/>
        </w:rPr>
        <w:t>Business Wire, 'Barnes Group Reports Q1 2024 Earnings', 2024</w:t>
      </w:r>
    </w:p>
    <w:p>
      <w:pPr>
        <w:spacing w:before="20" w:after="20"/>
        <w:ind w:left="170"/>
      </w:pPr>
      <w:r>
        <w:rPr>
          <w:rFonts w:ascii="Calibri" w:hAnsi="Calibri"/>
          <w:b/>
          <w:color w:val="4A6B25"/>
          <w:sz w:val="15"/>
        </w:rPr>
        <w:t xml:space="preserve">4. </w:t>
      </w:r>
      <w:r>
        <w:rPr>
          <w:rFonts w:ascii="Calibri" w:hAnsi="Calibri"/>
          <w:b w:val="0"/>
          <w:color w:val="3A4A28"/>
          <w:sz w:val="17"/>
        </w:rPr>
        <w:t>PitchBook, 'Barnes Aerospace 2026 Company Profile',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