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CADL</w:t>
      </w:r>
      <w:r>
        <w:rPr>
          <w:rFonts w:ascii="Calibri" w:hAnsi="Calibri"/>
          <w:b/>
          <w:color w:val="1A2010"/>
          <w:sz w:val="40"/>
        </w:rPr>
        <w:t xml:space="preserve">  Candel Therapeutics, Inc.</w:t>
      </w:r>
    </w:p>
    <w:p>
      <w:pPr>
        <w:spacing w:after="120"/>
      </w:pPr>
      <w:r>
        <w:rPr>
          <w:rFonts w:ascii="Calibri" w:hAnsi="Calibri"/>
          <w:b/>
          <w:color w:val="6E8450"/>
          <w:sz w:val="18"/>
        </w:rPr>
        <w:t>GROWTH SLEEVE · 2026-05-04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Candel Therapeutics is a clinical-stage biopharmaceutical company developing viral immunotherapies for solid tumors. Its lead candidate CAN-2409 is in Phase 2a trials for prostate cancer and NSCLC, while CAN-3110 targets recurrent high-grade glioma. The company's enLIGHTEN Discovery Platform leverages AI and multi-omics to design next-generation immunotherapy candidates.</w:t>
      </w:r>
    </w:p>
    <w:p>
      <w:r>
        <w:rPr>
          <w:rFonts w:ascii="Calibri" w:hAnsi="Calibri"/>
          <w:b/>
          <w:color w:val="6E8450"/>
          <w:sz w:val="18"/>
        </w:rPr>
        <w:t>55 Employees · https://www.candeltx.com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Candel rebranded from Advantagene in 2020 and advanced CAN-2409 into Phase 2a trials for prostate cancer and NSCLC, but has not yet achieved a commercial product launch or transformative pivot in the last 5 years [1]. AI Deployment (2/2): The enLIGHTEN Discovery Platform uses AI to interrogate TCGA RNA sequencing data and identify therapeutic payloads; AI-designed viral immunotherapies achieved 60% tumor growth suppression in breast cancer models presented at SITC 2025 [2]. Market Share (0/2): Pre-commercial company with no marketed products and no market share data [1]. Pipeline (2/2): CAN-2409 Phase 2a in prostate cancer and NSCLC, CAN-3110 Phase 1b in high-grade glioma, and $100M RTW royalty funding secured in February 2026 to support potential CAN-2409 launch in localized prostate cancer [1]. R&amp;D Intensity (0/1): With zero revenue, R&amp;D spending cannot be benchmarked as a percentage of revenue against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Candel's stated purpose is to develop 'a new class of viral immunotherapies that harness the power of the immune system to fight cancer,' which is clear and specific to oncology but not deeply distinctive among biotech peers [2]. Community Impact (0/2): No evidence of significant charitable programs or community investment beyond standard clinical trial access [3]. Employee Retention (1/2): Glassdoor reviews describe a culture of 'freedom, accountability, and fun' with leadership described as transparent and trustworthy, though some reviews cite employee burnout concerns; only 55 employees makes retention data limited [2]. Insider Buying (1/2): CEO Paul Peter Tak has led the company through multiple financing rounds including the $100M RTW royalty deal in February 2026, showing capital commitment, though specific insider purchase data was not available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Candel is a pre-revenue clinical-stage biotech with zero product sales, 0% profit margin, and ROE of -64.6% reflecting ongoing cash burn [3]. The company reported -$38.3M operating cash flow with $119.7M cash against $49.0M debt (D/E 94.4%) [3]. The $100M RTW royalty funding provides runway but does not address fundamental lack of revenue generation [1]. Forward P/E of -10.1x is meaningless for a pre-revenue company. Liquidity floor cleared: 1.49M avg volume × $6.47 = $9.6M [3]. Infrastructure calculated mechanically on available metrics only (D/E, ROE, profit margin); most metrics unavailable due to pre-revenue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Candel shows genuine purpose in developing novel cancer immunotherapies and has demonstrated patience through a multi-decade development journey (incorporated 2003, still pre-revenue). The $100M RTW deal and AI platform investment suggest long-term thinking, but the company's small size and clinical-stage status limit evidence of organizational trust, existential flexibility, and competitive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Candel's purpose — harnessing viral immunotherapy to fight cancer — is genuinely service-oriented and connects to a larger human need. The company has pursued this cause since 2003 (over 20 years), demonstrating persistence through multiple setbacks. However, the cause hasn't yet been validated by commercial execution, and many biotech peers share similar missions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CEO Paul Peter Tak as transparent and trustworthy, with a culture of 'freedom, accountability, and fun.' However, some reviews cite leadership turning a blind eye to burnout, and with only 55 employees, the organizational trust evidence is limited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Candel acknowledging competitors' strengths or framing competition as motivation for self-improvement. The company's communications focus on its own pipeline and differentiated approach rather than learning from rivals in the immunotherapy space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Candel has evolved from a single-asset company (Advantagene) to a multi-program platform with the enLIGHTEN AI discovery engine, representing incremental strategic evolution. The pivot to AI-driven candidate design shows adaptability, but no transformative business model reinvention has occurred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$100M RTW royalty deal in February 2026 shows willingness to structure creative financing rather than simply diluting shareholders, and the 20+ year commitment to viral immunotherapy through multiple funding cycles demonstrates persistence. However, no clear examples of sacrificing near-term gains for long-term capability beyond standard biotech development timelines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Candel Therapeutics offers speculative upside as a clinical-stage viral immunotherapy company with a differentiated platform. CAN-2409 in Phase 2a trials for localized prostate cancer represents the near-term catalyst, supported by the $100M RTW royalty funding agreement secured in February 2026 to fund potential commercialization [1]. The AI-powered enLIGHTEN Discovery Platform, which demonstrated 60% tumor suppression in preclinical breast cancer models, provides pipeline optionality beyond the lead asset [2]. With $119.7M cash, $474M market cap, and Cantor Fitzgerald initiating with an Overweight rating, the risk/reward is favorable if clinical data reads out positively [3].</w:t>
      </w:r>
    </w:p>
    <w:p>
      <w:pPr>
        <w:spacing w:after="120"/>
      </w:pPr>
      <w:r>
        <w:rPr>
          <w:rFonts w:ascii="Calibri" w:hAnsi="Calibri"/>
          <w:b w:val="0"/>
          <w:color w:val="3A4A28"/>
          <w:sz w:val="20"/>
        </w:rPr>
        <w:t>The bear case is significant: Candel has zero revenue after 20+ years of operations, -$38.3M annual operating cash burn, and -$0.72 trailing EPS [3]. Clinical-stage biotechs carry binary risk — CAN-2409 failure would devastate the thesis. The company has only 55 employees and limited commercial infrastructure, meaning even successful trials would require significant investment to build a sales organization or a dilutive partnership [2]. Forward EPS of -$0.64 suggests continued losses, and the negative ROE of -64.6% reflects persistent value destruction. Secondary offering dilution risk is real, as evidenced by the February 2026 market reaction to a secondary offering [1]. Prostate cancer immunotherapy is a competitive field with established players, and Candel's small size limits its ability to compete commercially.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CAN-2409 Phase 2a data readouts in localized prostate cancer and NSCLC, which would de-risk the lead asset and potentially trigger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$100M RTW royalty funding provides non-dilutive runway to support potential CAN-2409 launch without additional equity offerings [1]</w:t>
      </w:r>
    </w:p>
    <w:p>
      <w:pPr>
        <w:spacing w:before="40" w:after="40"/>
        <w:ind w:left="283"/>
      </w:pPr>
      <w:r>
        <w:rPr>
          <w:rFonts w:ascii="Calibri" w:hAnsi="Calibri"/>
          <w:b/>
          <w:color w:val="4A6B25"/>
          <w:sz w:val="20"/>
        </w:rPr>
        <w:t xml:space="preserve">3. </w:t>
      </w:r>
      <w:r>
        <w:rPr>
          <w:rFonts w:ascii="Calibri" w:hAnsi="Calibri"/>
          <w:b w:val="0"/>
          <w:color w:val="3A4A28"/>
          <w:sz w:val="20"/>
        </w:rPr>
        <w:t>enLIGHTEN AI platform generating preclinical candidates with demonstrated tumor suppression, expanding pipeline value beyond lead asset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CAN-2409 Phase 2a failure in prostate cancer or NSCLC would eliminate near-term catalysts and likely result in 50%+ share price decline [1]</w:t>
      </w:r>
    </w:p>
    <w:p>
      <w:pPr>
        <w:spacing w:before="40" w:after="40"/>
        <w:ind w:left="283"/>
      </w:pPr>
      <w:r>
        <w:rPr>
          <w:rFonts w:ascii="Calibri" w:hAnsi="Calibri"/>
          <w:b/>
          <w:color w:val="4A6B25"/>
          <w:sz w:val="20"/>
        </w:rPr>
        <w:t xml:space="preserve">2. </w:t>
      </w:r>
      <w:r>
        <w:rPr>
          <w:rFonts w:ascii="Calibri" w:hAnsi="Calibri"/>
          <w:b w:val="0"/>
          <w:color w:val="3A4A28"/>
          <w:sz w:val="20"/>
        </w:rPr>
        <w:t>Persistent cash burn of -$38.3M annually with zero revenue, creating ongoing dilution risk despite the RTW deal [3]</w:t>
      </w:r>
    </w:p>
    <w:p>
      <w:pPr>
        <w:spacing w:before="40" w:after="40"/>
        <w:ind w:left="283"/>
      </w:pPr>
      <w:r>
        <w:rPr>
          <w:rFonts w:ascii="Calibri" w:hAnsi="Calibri"/>
          <w:b/>
          <w:color w:val="4A6B25"/>
          <w:sz w:val="20"/>
        </w:rPr>
        <w:t xml:space="preserve">3. </w:t>
      </w:r>
      <w:r>
        <w:rPr>
          <w:rFonts w:ascii="Calibri" w:hAnsi="Calibri"/>
          <w:b w:val="0"/>
          <w:color w:val="3A4A28"/>
          <w:sz w:val="20"/>
        </w:rPr>
        <w:t>Competitive immunotherapy landscape with established players (Merck's Keytruda, BMS's Opdivo) who have vastly greater commercial resources and physician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Candel's core business — developing viral immunotherapies for solid tumors — requires physical biological manufacturing, FDA-regulated clinical trials, and complex patient-specific immune responses that AI cannot substitute [1]. Drug development in oncology immunotherapy is structurally immune to AI disruption; AI augments the discovery process but cannot replace the physical clinical trial and regulatory pathway. AI Opportunity (1/1): Candel actively generates AI-derived value through its enLIGHTEN Discovery Platform, which uses AI to interrogate genomic data and design viral immunotherapy payloads. AI-designed candidates achieved 60% tumor suppression in preclinical breast cancer models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Candel Therapeutics Investor Relations — $100M RTW royalty funding announcement, February 2026; Secondary offering, February 2026</w:t>
      </w:r>
    </w:p>
    <w:p>
      <w:pPr>
        <w:spacing w:before="20" w:after="20"/>
        <w:ind w:left="170"/>
      </w:pPr>
      <w:r>
        <w:rPr>
          <w:rFonts w:ascii="Calibri" w:hAnsi="Calibri"/>
          <w:b/>
          <w:color w:val="4A6B25"/>
          <w:sz w:val="15"/>
        </w:rPr>
        <w:t xml:space="preserve">2. </w:t>
      </w:r>
      <w:r>
        <w:rPr>
          <w:rFonts w:ascii="Calibri" w:hAnsi="Calibri"/>
          <w:b w:val="0"/>
          <w:color w:val="3A4A28"/>
          <w:sz w:val="17"/>
        </w:rPr>
        <w:t>Candel Therapeutics SITC 2025 presentation — enLIGHTEN platform, AI-designed immunotherapies, 60% tumor suppression data; Glassdoor reviews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CADL — financial metrics, market data, accessed May 4, 2026</w:t>
      </w:r>
    </w:p>
    <w:p>
      <w:pPr>
        <w:spacing w:before="20" w:after="20"/>
        <w:ind w:left="170"/>
      </w:pPr>
      <w:r>
        <w:rPr>
          <w:rFonts w:ascii="Calibri" w:hAnsi="Calibri"/>
          <w:b/>
          <w:color w:val="4A6B25"/>
          <w:sz w:val="15"/>
        </w:rPr>
        <w:t xml:space="preserve">4. </w:t>
      </w:r>
      <w:r>
        <w:rPr>
          <w:rFonts w:ascii="Calibri" w:hAnsi="Calibri"/>
          <w:b w:val="0"/>
          <w:color w:val="3A4A28"/>
          <w:sz w:val="17"/>
        </w:rPr>
        <w:t>Benzinga — Cantor Fitzgerald Overweight initiation,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