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CAG</w:t>
      </w:r>
      <w:r>
        <w:rPr>
          <w:rFonts w:ascii="Calibri" w:hAnsi="Calibri"/>
          <w:b/>
          <w:color w:val="1A2010"/>
          <w:sz w:val="40"/>
        </w:rPr>
        <w:t xml:space="preserve">  Conagra Brands, Inc.</w:t>
      </w:r>
    </w:p>
    <w:p>
      <w:pPr>
        <w:spacing w:after="120"/>
      </w:pPr>
      <w:r>
        <w:rPr>
          <w:rFonts w:ascii="Calibri" w:hAnsi="Calibri"/>
          <w:b/>
          <w:color w:val="6E8450"/>
          <w:sz w:val="18"/>
        </w:rPr>
        <w:t>DIVIDEND SLEEVE · 2026-03-24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Conagra Brands is one of North America's largest branded food companies, operating across four segments: Grocery &amp; Snacks, Refrigerated &amp; Frozen, International, and Foodservice, with fiscal 2025 net sales of approximately $12 billion. Key brands include Birds Eye, Duncan Hines, Healthy Choice, Hunt's, Marie Callender's, and Slim Jim. The company is executing 'Project Catalyst,' a multi-year AI-driven efficiency initiative, while managing elevated input cost inflation, goodwill impairments, and a 3.54x net leverage ratio.</w:t>
      </w:r>
    </w:p>
    <w:p>
      <w:r>
        <w:rPr>
          <w:rFonts w:ascii="Calibri" w:hAnsi="Calibri"/>
          <w:b/>
          <w:color w:val="6E8450"/>
          <w:sz w:val="18"/>
        </w:rPr>
        <w:t>18,000 Employees · https://www.conagrabrands.com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Conagra scores modestly on innovation for a traditional CPG company. Track record (1/3): the company successfully built a dominant frozen food portfolio (Birds Eye, Healthy Choice) over the past decade and launched the skinny 'Future of Frozen' category initiative positioning high-protein and restaurant-inspired frozen meals — but no transformative pivot has occurred [1]. AI deployment (1/2): 'Project Catalyst' is a multi-year AI initiative targeting core business process reengineering, with CEO Sean Connolly calling it a 'fundamental reimagining' of how the company operates; however, no specific quantified savings or revenue gains have been cited yet [2]. Market share (1/2): Conagra holds top-2 positions in frozen vegetables, frozen single-serve meals, and several snacking categories, but faces Private Label pressure across the portfolio [1]. Pipeline (1/2): the 'Future of Frozen 2026' report and high-protein frozen food focus represent a defined product direction, though declining Q2 organic sales (-3%) suggest execution challenges [1]. R&amp;D intensity (0/1): CPG R&amp;D spending is below top-quartile industry investment levels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Conagra's purpose — feeding people well and nourishing lives — is aligned with its food business but fairly generic for the category [3]. Community impact (1/2): Conagra has a foundation focused on food security and hunger relief, with documented donations and employee programs, but these are standard CPG philanthropic programs rather than distinctive community investment [3]. Employee retention (1/2): an 18,000-person workforce with relatively stable segment leadership under CEO Sean Connolly; Project Catalyst restructuring creates some uncertainty but core operations teams appear stable [1]. Insider buying (1/2): no specific insider buying transactions cited; CEO Connolly has maintained operational focus through multiple challenges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CAG is a Dividend sleeve stock. Key metrics: D/E of 93% above 70% target but below 300% floor: score = (300-93)/(300-70) = 0.90. ROE of 9.65% below 15% target: score = 9.65/15 = 0.64. Revenue growth YoY of approximately -3% to -7% (organic -3%): score = (-3-(-20))/(10-(-20)) = 0.57. Revenue 5yr CAGR approximately 1%: score = (1-(-5))/(10-(-5)) = 0.40. Forward P/E of approximately 10 (attractive): score = (60-10)/(60-20) = 1.0. Profit margin of 7.42%: score = 7.42/20 = 0.37. Payout ratio: dividend $1.40 annual / estimated adj EPS ~$2.00 ≈ 70% (above 40% target): score = (100-70)/(100-40) = 0.50. Consec years paid approximately 7–8 years (Conagra has a shorter formal dividend growth track record): score = 7/10 = 0.70 (×2 = 1.40). Consec years growth = 1 (recently increased 1 year): score = 1/10 = 0.10. 5yr div growth CAGR approximately 1–2%: score = 1.5/6 = 0.25 (×2 = 0.50). Weighted sum: D/E(0.90) + ROE(0.64) + RevYoY(0.57) + Rev5yr(0.40) + FwdPE(1.0) + Margin(0.37) + Payout(0.50) + ConsecPaid(1.40) + ConsecGrowth(0.10) + DivGrowth5yr(0.50) = 6.38/12 → score =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Conagra has maintained a focused branded food identity through acquisitions (Pinnacle Foods in 2018) and portfolio optimization, but the 2026 goodwill impairment charges, declining sales, and rising Private Label pressure reveal a company navigating structural category headwinds. Project Catalyst represents a genuine attempt to build future capability, but the stock's 39% decline in 52 weeks suggests the market is skeptical of the execution timeline.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Conagra's purpose — nourishing lives through iconic food brands — has a 100+ year history and genuine cultural resonance with its brand portfolio. The 'Future of Frozen' initiative connecting frozen food to health and nutrition outcomes reflects an attempt to elevate the mission beyond commodity food manufacturing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Sean Connolly has led Conagra since 2015 with consistent portfolio focus, and the 18,000-person organization has generally stable segment leadership. The 98% service levels achieved after supply chain setbacks demonstrate operational resilience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Conagra's competitive discourse focuses on Private Label pressure as a threat rather than as a worthy rival to learn from. Wells Fargo's downgrade (along with General Mills and Campbell's) suggests the competitive dynamics are being experienced as erosion rather than productive rivalry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$10.9B Pinnacle Foods acquisition in 2018 represented transformative portfolio flexibility — adding Vlasic, Wish-Bone, Bird's Eye (branded version), and Duncan Hines to the portfolio. Project Catalyst's AI-driven business process reengineering is an operational flexibility initiative, though not yet a business model transformation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$450M 2026 CapEx commitment for supply chain resiliency, the multi-year Project Catalyst investment, and maintaining the dividend through a 39% stock decline represent long-term orientation under investor pressure. However, the goodwill impairments (non-cash charges that acknowledged overpayment for past acquisitions) suggest some prior decisions lacked the discipline associated with truly courageous leadership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Conagra trades at 10x forward earnings with an 8.11% dividend yield — among the highest in the S&amp;P 500 for a consumer staples company. At $17.25, the stock is 39% below its 52-week high, pricing in considerable distress. Project Catalyst's AI-driven efficiency initiative could deliver margin improvement from fiscal 2027 onward; the $93.5B US frozen food market provides a resilient demand base; and management's reaffirmed fiscal 2026 guidance of -1% to +1% organic net sales change suggests the category decline is stabilizing [1][2].</w:t>
      </w:r>
    </w:p>
    <w:p>
      <w:pPr>
        <w:spacing w:after="120"/>
      </w:pPr>
      <w:r>
        <w:rPr>
          <w:rFonts w:ascii="Calibri" w:hAnsi="Calibri"/>
          <w:b w:val="0"/>
          <w:color w:val="3A4A28"/>
          <w:sz w:val="20"/>
        </w:rPr>
        <w:t>The bear case is structural and persistent: consumers are shifting away from processed foods toward fresh, protein-rich, and less-processed alternatives — a secular headwind that Conagra's frozen food leadership cannot fully offset. Revenue declined 6.8% in Q2 FY2026 (reported organic -3%, worse on currency), and Wells Fargo downgraded the stock alongside General Mills and Campbell's, citing 'rising competitive risk,' 'EPS risk,' and 'tight dividend payouts.' With only 1 consecutive year of dividend growth and a 70% estimated payout ratio, the 8.11% yield may be unsustainable if earnings decline further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Project Catalyst delivering quantified margin improvement in fiscal 2027 — management has promised specific updates as fiscal 2026 progresses; measurable AI-driven cost savings would validate the multi-year investment</w:t>
      </w:r>
    </w:p>
    <w:p>
      <w:pPr>
        <w:spacing w:before="40" w:after="40"/>
        <w:ind w:left="283"/>
      </w:pPr>
      <w:r>
        <w:rPr>
          <w:rFonts w:ascii="Calibri" w:hAnsi="Calibri"/>
          <w:b/>
          <w:color w:val="4A6B25"/>
          <w:sz w:val="20"/>
        </w:rPr>
        <w:t xml:space="preserve">2. </w:t>
      </w:r>
      <w:r>
        <w:rPr>
          <w:rFonts w:ascii="Calibri" w:hAnsi="Calibri"/>
          <w:b w:val="0"/>
          <w:color w:val="3A4A28"/>
          <w:sz w:val="20"/>
        </w:rPr>
        <w:t>Organic net sales growth turning positive in Q4 fiscal 2026 — any return to volume growth would signal the consumer demand trough is behind the company</w:t>
      </w:r>
    </w:p>
    <w:p>
      <w:pPr>
        <w:spacing w:before="40" w:after="40"/>
        <w:ind w:left="283"/>
      </w:pPr>
      <w:r>
        <w:rPr>
          <w:rFonts w:ascii="Calibri" w:hAnsi="Calibri"/>
          <w:b/>
          <w:color w:val="4A6B25"/>
          <w:sz w:val="20"/>
        </w:rPr>
        <w:t xml:space="preserve">3. </w:t>
      </w:r>
      <w:r>
        <w:rPr>
          <w:rFonts w:ascii="Calibri" w:hAnsi="Calibri"/>
          <w:b w:val="0"/>
          <w:color w:val="3A4A28"/>
          <w:sz w:val="20"/>
        </w:rPr>
        <w:t>Net leverage declining toward 3.0x by fiscal year-end 2026 — achieving the long-term leverage target would free cash flow for dividend growth and share buybacks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with a 70% payout ratio, 1 consecutive year of growth, and declining sales, any further EPS decline from $2.00 guidance levels could force a dividend cut — which would severely impair the stock</w:t>
      </w:r>
    </w:p>
    <w:p>
      <w:pPr>
        <w:spacing w:before="40" w:after="40"/>
        <w:ind w:left="283"/>
      </w:pPr>
      <w:r>
        <w:rPr>
          <w:rFonts w:ascii="Calibri" w:hAnsi="Calibri"/>
          <w:b/>
          <w:color w:val="4A6B25"/>
          <w:sz w:val="20"/>
        </w:rPr>
        <w:t xml:space="preserve">2. </w:t>
      </w:r>
      <w:r>
        <w:rPr>
          <w:rFonts w:ascii="Calibri" w:hAnsi="Calibri"/>
          <w:b w:val="0"/>
          <w:color w:val="3A4A28"/>
          <w:sz w:val="20"/>
        </w:rPr>
        <w:t>Private Label acceleration: Morgan Stanley highlights rising competitive risk from value-focused private label at major retail chains; any grocery store private label expansion into frozen foods directly attacks Conagra's core market</w:t>
      </w:r>
    </w:p>
    <w:p>
      <w:pPr>
        <w:spacing w:before="40" w:after="40"/>
        <w:ind w:left="283"/>
      </w:pPr>
      <w:r>
        <w:rPr>
          <w:rFonts w:ascii="Calibri" w:hAnsi="Calibri"/>
          <w:b/>
          <w:color w:val="4A6B25"/>
          <w:sz w:val="20"/>
        </w:rPr>
        <w:t xml:space="preserve">3. </w:t>
      </w:r>
      <w:r>
        <w:rPr>
          <w:rFonts w:ascii="Calibri" w:hAnsi="Calibri"/>
          <w:b w:val="0"/>
          <w:color w:val="3A4A28"/>
          <w:sz w:val="20"/>
        </w:rPr>
        <w:t>Input cost inflation: management guided elevated cost of goods sold inflation to continue throughout fiscal 2026; tariffs on tinplate steel (cans) compound this pressure, and any further supply chain disruption would worsen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Conagra's branded food business is moderately protected from AI disruption — physical food manufacturing, supply chain logistics, retail shelf placement, and consumer brand equity cannot be replaced by AI. However, AI creates meaningful competitive pressure: AI-driven recipe generation could accelerate private label product development, AI optimization tools lower barriers for competitors, and AI behavioral analytics enable retailers to better understand price sensitivity and reduce dependence on branded CPG [2]. AI Opportunity (1/1): Project Catalyst uses AI to optimize supply chain, pricing, and consumer trend analysis — representing documented AI deployment for operational benefit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Conagra Brands Q2 Fiscal Year 2026 Earnings Release, December 2025</w:t>
      </w:r>
    </w:p>
    <w:p>
      <w:pPr>
        <w:spacing w:before="20" w:after="20"/>
        <w:ind w:left="170"/>
      </w:pPr>
      <w:r>
        <w:rPr>
          <w:rFonts w:ascii="Calibri" w:hAnsi="Calibri"/>
          <w:b/>
          <w:color w:val="4A6B25"/>
          <w:sz w:val="15"/>
        </w:rPr>
        <w:t xml:space="preserve">2. </w:t>
      </w:r>
      <w:r>
        <w:rPr>
          <w:rFonts w:ascii="Calibri" w:hAnsi="Calibri"/>
          <w:b w:val="0"/>
          <w:color w:val="3A4A28"/>
          <w:sz w:val="17"/>
        </w:rPr>
        <w:t>Conagra Brands Project Catalyst announcement — Food Business News, 2025</w:t>
      </w:r>
    </w:p>
    <w:p>
      <w:pPr>
        <w:spacing w:before="20" w:after="20"/>
        <w:ind w:left="170"/>
      </w:pPr>
      <w:r>
        <w:rPr>
          <w:rFonts w:ascii="Calibri" w:hAnsi="Calibri"/>
          <w:b/>
          <w:color w:val="4A6B25"/>
          <w:sz w:val="15"/>
        </w:rPr>
        <w:t xml:space="preserve">3. </w:t>
      </w:r>
      <w:r>
        <w:rPr>
          <w:rFonts w:ascii="Calibri" w:hAnsi="Calibri"/>
          <w:b w:val="0"/>
          <w:color w:val="3A4A28"/>
          <w:sz w:val="17"/>
        </w:rPr>
        <w:t>Conagra Brands corporate website — conagrabrands.com</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CAG statistics and valuation,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Supply Chain Dive — 'Conagra to invest in supply chain amid production revamp,'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