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CAH</w:t>
      </w:r>
      <w:r>
        <w:rPr>
          <w:rFonts w:ascii="Calibri" w:hAnsi="Calibri"/>
          <w:b/>
          <w:color w:val="1A2010"/>
          <w:sz w:val="40"/>
        </w:rPr>
        <w:t xml:space="preserve">  Cardinal Health, Inc.</w:t>
      </w:r>
    </w:p>
    <w:p>
      <w:pPr>
        <w:spacing w:after="120"/>
      </w:pPr>
      <w:r>
        <w:rPr>
          <w:rFonts w:ascii="Calibri" w:hAnsi="Calibri"/>
          <w:b/>
          <w:color w:val="6E8450"/>
          <w:sz w:val="18"/>
        </w:rPr>
        <w:t>GROWTH SLEEVE · 2026-04-22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NYSE · United States</w:t>
      </w:r>
    </w:p>
    <w:p>
      <w:pPr>
        <w:spacing w:after="80"/>
      </w:pPr>
      <w:r>
        <w:rPr>
          <w:rFonts w:ascii="Calibri" w:hAnsi="Calibri"/>
          <w:b w:val="0"/>
          <w:color w:val="3A4A28"/>
          <w:sz w:val="20"/>
        </w:rPr>
        <w:t>Cardinal Health is one of the largest healthcare services and products companies in the United States, operating through Pharmaceutical and Specialty Solutions and Global Medical Products and Distribution segments. The company distributes branded, generic, and specialty pharmaceuticals to hospitals, pharmacies, and healthcare systems, and manufactures Cardinal Health-branded medical, surgical, and laboratory products.</w:t>
      </w:r>
    </w:p>
    <w:p>
      <w:r>
        <w:rPr>
          <w:rFonts w:ascii="Calibri" w:hAnsi="Calibri"/>
          <w:b/>
          <w:color w:val="6E8450"/>
          <w:sz w:val="18"/>
        </w:rPr>
        <w:t>53,084 Employees · https://www.cardinalhealth.com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Jason Hollar executed a significant business turnaround since 2020, implementing 'ruthless prioritization' that restructured business segments and refocused on core pharmaceutical distribution, resulting in 19% Q2 FY2026 revenue growth and 38% non-GAAP operating earnings growth [1][2]. The strategic pivot toward specialty pharmaceuticals has opened meaningful new revenue streams. AI Deployment (1/2): Cardinal Health established an AI Center of Excellence in 2021 and has been building automation and AI capabilities for over five years, with responsible AI integration into supply chain and operational processes, though specific revenue or savings figures are not publicly quantified [3]. Market Share (2/2): Cardinal Health is one of three dominant pharmaceutical distributors (with McKesson and AmerisourceBergen) controlling approximately 90% of US pharmaceutical distribution — a structural oligopoly position with deep customer relationships across hospitals and pharmacies [1]. Pipeline (0/2): No specific next-generation products announced with defined timelines; growth is driven by expanding specialty pharmaceutical services and volume. R&amp;D Intensity (1/1): Investment in AI Center of Excellence and digital supply chain capabilities is above average for the distribution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Cardinal Health's mission focuses on improving the cost-effectiveness of healthcare — clear and identifies who they serve, but not particularly distinctive or inspiring beyond the obvious for a healthcare distributor [4]. Community Impact (1/2): Cardinal Health and its Foundation provided nearly $22 million in cash and product donations, with programs focused on equitable access to quality healthcare — meaningful but not distinctive at the company's scale [5]. Employee Retention (1/2): Glassdoor rating of 3.6/5.0 is average; some employees cite work-life balance and remote work options positively, but concerns about management being 'too set in their ways' and limited communication from upper management suggest adequate but unremarkable retention culture [3]. Insider Buying (1/2): Neutral insider transaction activity; no significant net insider buying or selling patterns reported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Cardinal Health demonstrates strong financial momentum despite thin distribution margins. Revenue grew 18.8% YoY with Q2 FY2026 at $65.6B (up 19%), driven by pharmaceutical distribution volume and specialty expansion [1]. Forward P/E of 17.7x is well below the 20x target, reflecting reasonable valuation for the growth trajectory. FY2026 non-GAAP EPS guidance raised to $10.15-$10.35, representing 23-26% growth [1]. The 5-year revenue CAGR of approximately 8.6% approaches the 10% target. Profit margin of 0.68% is structurally low for pharmaceutical distribution (industry characteristic, not a flaw) but mathematically penalizes the infrastructure score [6]. PEG of 1.36 is reasonable for the earnings growth profile. D/E and ROE are excluded due to negative book value from aggressive share buybacks. Liquidity floor easily cleared: 1.72M avg volume x $204.92 = $353M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Cardinal Health demonstrates mixed infinite game characteristics — the CEO's turnaround required courage and long-term thinking, but the company's language is primarily about operational efficiency and winning in distribution rather than advancing a broader cause. The opioid crisis settlement overhang reflects past finite game decisions that prioritized volume over responsible distribution.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Cardinal Health's purpose of improving healthcare cost-effectiveness and access is genuine and connects the company's work to a larger societal need. Strategic decisions around specialty pharmaceutical expansion align with this cause. However, the opioid crisis — in which Cardinal Health paid billions in settlements for inadequate distribution controls — demonstrates that the cause was not consistently lived out, preventing full marks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3.6/5.0 is adequate but unremarkable. Employees praise work-life balance and remote work flexibility, but criticisms of management being 'too set in their ways,' limited upper management communication, and reactive leadership suggest average organizational trust [3]. CEO Hollar's turnaround approach ('ruthless prioritization,' 'people want to win') has energized some but created uncertainty for others.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Cardinal Health operates alongside McKesson and AmerisourceBergen in a mature oligopoly where competitive dynamics focus on service quality and operational excellence rather than destructive competition. Management language centers on improving Cardinal Health's own capabilities rather than attacking rivals, and the company acknowledges competitors' strengths in specific verticals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Cardinal Health's business model has remained fundamentally the same for decades — pharmaceutical and medical product distribution. The company has not made a transformative strategic pivot. Growth through specialty pharmaceuticals is an adjacent expansion, not a reinvention. The divestiture of the Cordis cardiovascular business was a narrowing, not a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Hollar's 'ruthless prioritization' strategy required courage — restructuring business segments, divesting non-core assets, and slimming down the company during a turnaround when earnings had fallen by $300M [2]. However, the approach is primarily about operational efficiency rather than making costly long-term bets that sacrifice near-term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Cardinal Health is executing a compelling operational turnaround under CEO Jason Hollar, with Q2 FY2026 revenue up 19% to $65.6B and non-GAAP operating earnings surging 38% [1]. FY2026 EPS guidance has been raised twice to $10.15-$10.35, representing 23-26% growth driven by pharmaceutical distribution volume gains and accelerating specialty pharmaceutical revenues [1]. The company occupies an oligopoly position as one of three distributors controlling ~90% of US pharmaceutical distribution — a structurally advantaged position with high barriers to entry. At 17.7x forward earnings with 23%+ EPS growth, Cardinal Health trades at a reasonable PEG of 1.36 for a business with improving operational leverage and $5.4B in free cash flow. The specialty pharmaceutical expansion positions the company to capture the fastest-growing segment of drug distribution as biologics and complex therapies proliferate [1].</w:t>
      </w:r>
    </w:p>
    <w:p>
      <w:pPr>
        <w:spacing w:after="120"/>
      </w:pPr>
      <w:r>
        <w:rPr>
          <w:rFonts w:ascii="Calibri" w:hAnsi="Calibri"/>
          <w:b w:val="0"/>
          <w:color w:val="3A4A28"/>
          <w:sz w:val="20"/>
        </w:rPr>
        <w:t>The bear case centers on structural margin constraints and legacy liabilities. Profit margin of 0.68% leaves almost no room for error — a 10-basis-point margin compression on $245B in revenue would wipe out $245M in earnings. The pharmaceutical distribution business is fundamentally a low-margin, high-volume operation where pricing power is limited against large pharmacy chains and hospital systems. The opioid crisis settlements, while largely resolved, cost Cardinal Health billions and created permanent reputational damage and regulatory scrutiny. The Global Medical Products segment has faced persistent margin pressure from commodity product competition and manufacturing cost inflation. Negative book value from aggressive share buybacks creates financial fragility in a downturn — the company has no equity cushion. Revenue concentration in US pharmaceutical distribution means regulatory changes (drug pricing reform, PBM reform) could structurally alter the economics of the distribution model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specialty pharmaceutical revenue acceleration, with FY2026 guidance raised to $10.15-$10.35 non-GAAP EPS representing 23-26% growth on the back of increasing specialty drug approvals and biosimilar launches [1]</w:t>
      </w:r>
    </w:p>
    <w:p>
      <w:pPr>
        <w:spacing w:before="40" w:after="40"/>
        <w:ind w:left="283"/>
      </w:pPr>
      <w:r>
        <w:rPr>
          <w:rFonts w:ascii="Calibri" w:hAnsi="Calibri"/>
          <w:b/>
          <w:color w:val="4A6B25"/>
          <w:sz w:val="20"/>
        </w:rPr>
        <w:t xml:space="preserve">2. </w:t>
      </w:r>
      <w:r>
        <w:rPr>
          <w:rFonts w:ascii="Calibri" w:hAnsi="Calibri"/>
          <w:b w:val="0"/>
          <w:color w:val="3A4A28"/>
          <w:sz w:val="20"/>
        </w:rPr>
        <w:t>AI Center of Excellence driving operational efficiency gains across the supply chain and distribution network, with potential to improve the thin 0.68% profit margin by even modest basis points [3]</w:t>
      </w:r>
    </w:p>
    <w:p>
      <w:pPr>
        <w:spacing w:before="40" w:after="40"/>
        <w:ind w:left="283"/>
      </w:pPr>
      <w:r>
        <w:rPr>
          <w:rFonts w:ascii="Calibri" w:hAnsi="Calibri"/>
          <w:b/>
          <w:color w:val="4A6B25"/>
          <w:sz w:val="20"/>
        </w:rPr>
        <w:t xml:space="preserve">3. </w:t>
      </w:r>
      <w:r>
        <w:rPr>
          <w:rFonts w:ascii="Calibri" w:hAnsi="Calibri"/>
          <w:b w:val="0"/>
          <w:color w:val="3A4A28"/>
          <w:sz w:val="20"/>
        </w:rPr>
        <w:t>Share buyback program continuing to reduce share count and boost EPS accretion, supported by $5.4B annual free cash flow generation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margin fragility — 0.68% profit margin on $245B revenue means even minor pricing pressure or cost overruns can materially impact earnings; a 10bps margin change equals $245M [6]</w:t>
      </w:r>
    </w:p>
    <w:p>
      <w:pPr>
        <w:spacing w:before="40" w:after="40"/>
        <w:ind w:left="283"/>
      </w:pPr>
      <w:r>
        <w:rPr>
          <w:rFonts w:ascii="Calibri" w:hAnsi="Calibri"/>
          <w:b/>
          <w:color w:val="4A6B25"/>
          <w:sz w:val="20"/>
        </w:rPr>
        <w:t xml:space="preserve">2. </w:t>
      </w:r>
      <w:r>
        <w:rPr>
          <w:rFonts w:ascii="Calibri" w:hAnsi="Calibri"/>
          <w:b w:val="0"/>
          <w:color w:val="3A4A28"/>
          <w:sz w:val="20"/>
        </w:rPr>
        <w:t>Drug pricing reform risk — Congressional or regulatory action on pharmaceutical pricing, PBM reform, or distribution fee structures could structurally alter the economics of the pharmaceutical distribution oligopoly [1]</w:t>
      </w:r>
    </w:p>
    <w:p>
      <w:pPr>
        <w:spacing w:before="40" w:after="40"/>
        <w:ind w:left="283"/>
      </w:pPr>
      <w:r>
        <w:rPr>
          <w:rFonts w:ascii="Calibri" w:hAnsi="Calibri"/>
          <w:b/>
          <w:color w:val="4A6B25"/>
          <w:sz w:val="20"/>
        </w:rPr>
        <w:t xml:space="preserve">3. </w:t>
      </w:r>
      <w:r>
        <w:rPr>
          <w:rFonts w:ascii="Calibri" w:hAnsi="Calibri"/>
          <w:b w:val="0"/>
          <w:color w:val="3A4A28"/>
          <w:sz w:val="20"/>
        </w:rPr>
        <w:t>Negative book value and elevated leverage — aggressive buybacks have eliminated the equity cushion, creating financial fragility if the business encounters a sustained downturn or unexpected liability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distribution is a physical-world logistics operation that AI structurally cannot displace — moving billions of dollars of pharmaceuticals through temperature-controlled supply chains to 90% of US hospitals and pharmacies requires massive physical infrastructure, regulatory compliance (DEA licensing, state pharmacy boards), and deeply embedded customer relationships [1]. The three-company oligopoly structure creates additional protection through scale barriers. AI may actually increase demand as pharmaceutical innovation accelerates drug approvals and specialty medications requiring complex distribution. AI Opportunity (1/1): Cardinal Health's AI Center of Excellence, established in 2021, deploys AI across supply chain optimization, inventory management, and operational processes, generating quantifiable efficiency improvements across the distribution network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Cardinal Health Q2 FY2026 Earnings Release — $65.6B revenue (19% growth), non-GAAP operating earnings up 38%, FY2026 EPS guidance raised to $10.15-$10.35, February 5, 2026</w:t>
      </w:r>
    </w:p>
    <w:p>
      <w:pPr>
        <w:spacing w:before="20" w:after="20"/>
        <w:ind w:left="170"/>
      </w:pPr>
      <w:r>
        <w:rPr>
          <w:rFonts w:ascii="Calibri" w:hAnsi="Calibri"/>
          <w:b/>
          <w:color w:val="4A6B25"/>
          <w:sz w:val="15"/>
        </w:rPr>
        <w:t xml:space="preserve">2. </w:t>
      </w:r>
      <w:r>
        <w:rPr>
          <w:rFonts w:ascii="Calibri" w:hAnsi="Calibri"/>
          <w:b w:val="0"/>
          <w:color w:val="3A4A28"/>
          <w:sz w:val="17"/>
        </w:rPr>
        <w:t>Fortune — 'After earnings fell by $300 million, Cardinal Health's CEO went ruthless to turn it around,' CEO Jason Hollar turnaround profile, July 2025</w:t>
      </w:r>
    </w:p>
    <w:p>
      <w:pPr>
        <w:spacing w:before="20" w:after="20"/>
        <w:ind w:left="170"/>
      </w:pPr>
      <w:r>
        <w:rPr>
          <w:rFonts w:ascii="Calibri" w:hAnsi="Calibri"/>
          <w:b/>
          <w:color w:val="4A6B25"/>
          <w:sz w:val="15"/>
        </w:rPr>
        <w:t xml:space="preserve">3. </w:t>
      </w:r>
      <w:r>
        <w:rPr>
          <w:rFonts w:ascii="Calibri" w:hAnsi="Calibri"/>
          <w:b w:val="0"/>
          <w:color w:val="3A4A28"/>
          <w:sz w:val="17"/>
        </w:rPr>
        <w:t>Cardinal Health Newsroom — 'Inside Cardinal Health's AI Center of Excellence,' AI and automation strategy since 2021; Glassdoor reviews 3.6/5.0</w:t>
      </w:r>
    </w:p>
    <w:p>
      <w:pPr>
        <w:spacing w:before="20" w:after="20"/>
        <w:ind w:left="170"/>
      </w:pPr>
      <w:r>
        <w:rPr>
          <w:rFonts w:ascii="Calibri" w:hAnsi="Calibri"/>
          <w:b/>
          <w:color w:val="4A6B25"/>
          <w:sz w:val="15"/>
        </w:rPr>
        <w:t xml:space="preserve">4. </w:t>
      </w:r>
      <w:r>
        <w:rPr>
          <w:rFonts w:ascii="Calibri" w:hAnsi="Calibri"/>
          <w:b w:val="0"/>
          <w:color w:val="3A4A28"/>
          <w:sz w:val="17"/>
        </w:rPr>
        <w:t>Cardinal Health corporate website — mission, values, and ESG commitments</w:t>
      </w:r>
    </w:p>
    <w:p>
      <w:pPr>
        <w:spacing w:before="20" w:after="20"/>
        <w:ind w:left="170"/>
      </w:pPr>
      <w:r>
        <w:rPr>
          <w:rFonts w:ascii="Calibri" w:hAnsi="Calibri"/>
          <w:b/>
          <w:color w:val="4A6B25"/>
          <w:sz w:val="15"/>
        </w:rPr>
        <w:t xml:space="preserve">5. </w:t>
      </w:r>
      <w:r>
        <w:rPr>
          <w:rFonts w:ascii="Calibri" w:hAnsi="Calibri"/>
          <w:b w:val="0"/>
          <w:color w:val="3A4A28"/>
          <w:sz w:val="17"/>
        </w:rPr>
        <w:t>Cardinal Health FY2024 ESG Report — $22M in cash and product donations, SBTi-approved climate targets, 17% Scope 1&amp;2 emissions reduction</w:t>
      </w:r>
    </w:p>
    <w:p>
      <w:pPr>
        <w:spacing w:before="20" w:after="20"/>
        <w:ind w:left="170"/>
      </w:pPr>
      <w:r>
        <w:rPr>
          <w:rFonts w:ascii="Calibri" w:hAnsi="Calibri"/>
          <w:b/>
          <w:color w:val="4A6B25"/>
          <w:sz w:val="15"/>
        </w:rPr>
        <w:t xml:space="preserve">6. </w:t>
      </w:r>
      <w:r>
        <w:rPr>
          <w:rFonts w:ascii="Calibri" w:hAnsi="Calibri"/>
          <w:b w:val="0"/>
          <w:color w:val="3A4A28"/>
          <w:sz w:val="17"/>
        </w:rPr>
        <w:t>Yahoo Finance — CAH key statistics, forward P/E 17.69, profit margin 0.68%, PEG 1.36,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