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CALY</w:t>
      </w:r>
      <w:r>
        <w:rPr>
          <w:rFonts w:ascii="Calibri" w:hAnsi="Calibri"/>
          <w:b/>
          <w:color w:val="1A2010"/>
          <w:sz w:val="40"/>
        </w:rPr>
        <w:t xml:space="preserve">  Callaway Golf Company</w:t>
      </w:r>
    </w:p>
    <w:p>
      <w:pPr>
        <w:spacing w:after="120"/>
      </w:pPr>
      <w:r>
        <w:rPr>
          <w:rFonts w:ascii="Calibri" w:hAnsi="Calibri"/>
          <w:b/>
          <w:color w:val="6E8450"/>
          <w:sz w:val="18"/>
        </w:rPr>
        <w:t>GROWTH SLEEVE · 2026-04-09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 NYSE · United States</w:t>
      </w:r>
    </w:p>
    <w:p>
      <w:pPr>
        <w:spacing w:after="80"/>
      </w:pPr>
      <w:r>
        <w:rPr>
          <w:rFonts w:ascii="Calibri" w:hAnsi="Calibri"/>
          <w:b w:val="0"/>
          <w:color w:val="3A4A28"/>
          <w:sz w:val="20"/>
        </w:rPr>
        <w:t>Callaway Golf Company designs, manufactures, and sells premium golf equipment (drivers, irons, putters under Callaway, Odyssey brands), golf balls (Chrome family), and lifestyle apparel (TravisMathew, OGIO). Formerly Topgolf Callaway Brands, the company separated from Topgolf in early 2026, retaining a 40% stake, and returned to a pure-play golf equipment focus.</w:t>
      </w:r>
    </w:p>
    <w:p>
      <w:r>
        <w:rPr>
          <w:rFonts w:ascii="Calibri" w:hAnsi="Calibri"/>
          <w:b/>
          <w:color w:val="6E8450"/>
          <w:sz w:val="18"/>
        </w:rPr>
        <w:t>28,000 Employees · https://www.callawaygolf.com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Callaway executed a transformative Topgolf acquisition (2021) and subsequent separation (2026), returning to pure-play golf while retaining 40% equity upside. The Topgolf sale brought ~$800M in cash and enabled $1B in debt repayment [1]. AI Deployment (2/2): Callaway is a genuine AI deployer — the 2026 Quantum driver lineup uses AI-10x face optimization and Jailbreak AI technology, while Odyssey AI-DUAL putters leverage AI for weight distribution and stroke consistency [2]. The company has partnered with supercomputers for club face design since the Mavrik line. Market Share (1/2): Callaway is a leading premium golf equipment brand competing with Titleist, TaylorMade, and Ping, but does not dominate market share in any single category [2]. Pipeline (1/2): 2026 Quantum family of drivers, fairway woods, irons, hybrids, plus Chrome ball family and Odyssey AI putters represent a strong product cycle, though golf equipment has natural replacement cycles [2]. R&amp;D Intensity (0/1): R&amp;D spend is not disclosed separately, and the company's operating margins are deeply negative at -14.4% due to the restructuring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Callaway's purpose centers on being the global leader in premium golf equipment and lifestyle brands — clear and category-specific but ultimately about market leadership rather than a deeper purpose. CEO Chip Brewer has led Callaway since 2012, restoring the brand to global prominence [2]. Community Impact (1/2): Callaway employs 28,000 people and supports golf participation growth, though no distinctive charitable programs or community investment were identified. The inaugural sustainability report covers supplier ethical standards and SMETA audit compliance [3]. Employee Retention (1/2): 56% of employees would recommend Callaway on Glassdoor, with mixed reviews — some praising leadership quality and industry veterans, others noting organizational challenges [2]. Insider Buying (1/2): CEO Brewer gifted 289,300 shares in March 2026, reflecting significant equity holdings but no open-market buying. Other insiders show stock awards and grants, not purchases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Callaway's financials are deeply distorted by the Topgolf separation, which caused reported revenue to drop 60.2% YoY and the 3-year revenue CAGR to be -19.8% [5]. Post-separation 2026 guidance of $1.98-2.05B represents the pure-play golf business [1]. D/E of 80.9% is reasonable after the $1B debt repayment from Topgolf proceeds. However, profit margin is -19.9%, ROE is a mere 1.7%, and trailing P/E is 68.9x on minimal $0.21 EPS [5]. Forward P/E of 24.3x on $0.60 forward EPS is more reasonable. The balance sheet shows $903M cash against $1.67B debt. Free cash flow was -$1.02B. The company pays no dividend. Infrastructure scores mechanically to 3/10 driven by the severe revenue decline and negative profitability metrics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Callaway under Chip Brewer shows a mix of infinite and finite game characteristics. The bold Topgolf acquisition and subsequent separation demonstrate strategic flexibility, but the aggressive financial engineering and short-term restructuring pain suggest a company managing through crisis rather than playing the long game. The 14-year CEO tenure provides leadership continuity.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Callaway's purpose is to be the global leader in premium golf equipment — a competitive positioning statement rather than a transformative vision of a better future [2]. The company's identity is tied to product excellence and brand heritage since 1982, which provides some depth, but the mission does not inspire beyond the golf industry or articulate why the world needs Callaway to exist.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Brewer's 14-year tenure provides leadership stability, and some Glassdoor reviewers praise the leadership team's experience spanning ecommerce and Silicon Valley [2]. However, the 56% Glassdoor recommendation rate is below average, and the Topgolf separation likely created significant organizational disruption and uncertainty for the 28,000-person workforce.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Callaway competes against Titleist, TaylorMade, and Ping and uses competitive pressure to drive innovation — the AI-powered club design initiative was explicitly a response to competitive dynamics in driver performance and forgiveness [2]. The company's product language focuses on technological advancement and golfer improvement rather than crushing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Topgolf acquisition (2021) and separation (2026) represent significant strategic pivots — Callaway attempted to transform from a golf equipment company into an entertainment-and-equipment platform, then reversed course when the model proved unsustainable [1]. While the pivot back to pure-play golf was driven by financial necessity rather than cause-driven reinvention, it demonstrates willingness to make painful strategic shifts.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Brewer demonstrated courage in executing the Topgolf separation — acknowledging that the $7.5B acquisition was not delivering shareholder value and making the painful decision to divest, repay $1B in debt, and return to the pure-play golf identity [1]. Walking away from a transformative deal requires swallowing pride and prioritizing long-term brand health over sunk-cost thinking. However, the pattern of aggressive acquisition followed by forced divestiture reflects reactive leadership rather than proactive long-term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Callaway Golf is executing a strategic reset, returning to its core identity as a pure-play premium golf equipment company after separating from Topgolf with ~$800M in cash proceeds and $1B in debt repayment [1]. The 2026 product cycle is strong — the AI-powered Quantum driver family, Chrome balls, and Odyssey AI-DUAL putters demonstrate genuine product innovation in a growing golf equipment market (projected 11.2% industry growth in 2026) [2]. The company retains a 40% stake in Topgolf providing potential upside. 2026 guidance of $1.98-2.05B revenue and $170-195M adjusted EBITDA provides a baseline for the post-separation business, and at $14.46/share ($2.66B market cap), the stock trades at 24.3x forward earnings with meaningful recovery potential if profitability normalizes [5].</w:t>
      </w:r>
    </w:p>
    <w:p>
      <w:pPr>
        <w:spacing w:after="120"/>
      </w:pPr>
      <w:r>
        <w:rPr>
          <w:rFonts w:ascii="Calibri" w:hAnsi="Calibri"/>
          <w:b w:val="0"/>
          <w:color w:val="3A4A28"/>
          <w:sz w:val="20"/>
        </w:rPr>
        <w:t>The bear case is severe: GAAP financials are deeply impaired with -19.9% profit margin, 1.7% ROE, and -$1.02B free cash flow reflecting the Topgolf separation costs and restructuring charges [5]. The -60.2% YoY revenue decline, while largely structural from the Topgolf deconsolidation, masks a pure-play golf business that has been roughly flat at ~$2.06-2.08B for three years. The 56% Glassdoor recommendation rate and organizational disruption from the separation create talent retention risk. The $1.67B debt load against $903M cash means the balance sheet is not yet clean. Golf equipment is a cyclical, discretionary category vulnerable to consumer spending downturns, and Callaway faces intense competition from Titleist, TaylorMade, and Ping for premium market share [1]. The Topgolf acquisition destroyed significant shareholder value, and it remains to be seen whether the 40% retained stake will recover that loss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Quantum product cycle featuring AI-10x face optimization driving premium driver market share gains and revenue recovery [2]</w:t>
      </w:r>
    </w:p>
    <w:p>
      <w:pPr>
        <w:spacing w:before="40" w:after="40"/>
        <w:ind w:left="283"/>
      </w:pPr>
      <w:r>
        <w:rPr>
          <w:rFonts w:ascii="Calibri" w:hAnsi="Calibri"/>
          <w:b/>
          <w:color w:val="4A6B25"/>
          <w:sz w:val="20"/>
        </w:rPr>
        <w:t xml:space="preserve">2. </w:t>
      </w:r>
      <w:r>
        <w:rPr>
          <w:rFonts w:ascii="Calibri" w:hAnsi="Calibri"/>
          <w:b w:val="0"/>
          <w:color w:val="3A4A28"/>
          <w:sz w:val="20"/>
        </w:rPr>
        <w:t>Post-Topgolf balance sheet deleveraging — $1B debt repaid with potential for further reduction from the 40% Topgolf stake monetization [1]</w:t>
      </w:r>
    </w:p>
    <w:p>
      <w:pPr>
        <w:spacing w:before="40" w:after="40"/>
        <w:ind w:left="283"/>
      </w:pPr>
      <w:r>
        <w:rPr>
          <w:rFonts w:ascii="Calibri" w:hAnsi="Calibri"/>
          <w:b/>
          <w:color w:val="4A6B25"/>
          <w:sz w:val="20"/>
        </w:rPr>
        <w:t xml:space="preserve">3. </w:t>
      </w:r>
      <w:r>
        <w:rPr>
          <w:rFonts w:ascii="Calibri" w:hAnsi="Calibri"/>
          <w:b w:val="0"/>
          <w:color w:val="3A4A28"/>
          <w:sz w:val="20"/>
        </w:rPr>
        <w:t>Golf equipment industry growth of 11.2% in 2026 driven by sustained participation levels and technology innovation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Profitability normalization uncertainty — -19.9% profit margin and -$1.02B free cash flow must improve dramatically for equity to rerate [5]</w:t>
      </w:r>
    </w:p>
    <w:p>
      <w:pPr>
        <w:spacing w:before="40" w:after="40"/>
        <w:ind w:left="283"/>
      </w:pPr>
      <w:r>
        <w:rPr>
          <w:rFonts w:ascii="Calibri" w:hAnsi="Calibri"/>
          <w:b/>
          <w:color w:val="4A6B25"/>
          <w:sz w:val="20"/>
        </w:rPr>
        <w:t xml:space="preserve">2. </w:t>
      </w:r>
      <w:r>
        <w:rPr>
          <w:rFonts w:ascii="Calibri" w:hAnsi="Calibri"/>
          <w:b w:val="0"/>
          <w:color w:val="3A4A28"/>
          <w:sz w:val="20"/>
        </w:rPr>
        <w:t>Golf equipment demand cyclicality — consumer discretionary spending downturn could compress the $1.98-2.05B revenue guidance [1]</w:t>
      </w:r>
    </w:p>
    <w:p>
      <w:pPr>
        <w:spacing w:before="40" w:after="40"/>
        <w:ind w:left="283"/>
      </w:pPr>
      <w:r>
        <w:rPr>
          <w:rFonts w:ascii="Calibri" w:hAnsi="Calibri"/>
          <w:b/>
          <w:color w:val="4A6B25"/>
          <w:sz w:val="20"/>
        </w:rPr>
        <w:t xml:space="preserve">3. </w:t>
      </w:r>
      <w:r>
        <w:rPr>
          <w:rFonts w:ascii="Calibri" w:hAnsi="Calibri"/>
          <w:b w:val="0"/>
          <w:color w:val="3A4A28"/>
          <w:sz w:val="20"/>
        </w:rPr>
        <w:t>Topgolf overhang — the 40% retained stake carries mark-to-market risk and the acquisition history has damaged management credibility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Golf equipment is a physical product business that AI cannot directly displace — consumers still need clubs, balls, and apparel to play golf [1]. The sport itself requires physical participation, creating structural immunity from AI substitution for the core product. However, retail distribution faces some AI-enabled competitive pressure from direct-to-consumer brands and AI-powered fitting alternatives. AI Opportunity (1/1): Callaway generates meaningful AI-enhanced revenue through its AI-designed product lines — the Quantum drivers use AI-10x face optimization, Odyssey AI-DUAL putters use AI for weight distribution, and the company has leveraged supercomputer-powered design since the Mavrik line [2]. AI is a genuine competitive differentiator in club performance and design iteration speed.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Callaway Golf Company Q4 and Full Year 2025 Earnings Release — Topgolf separation,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Golf Monthly, PopSci — Callaway AI-powered product innovation (Quantum, Odyssey AI-DUAL), 2026</w:t>
      </w:r>
    </w:p>
    <w:p>
      <w:pPr>
        <w:spacing w:before="20" w:after="20"/>
        <w:ind w:left="170"/>
      </w:pPr>
      <w:r>
        <w:rPr>
          <w:rFonts w:ascii="Calibri" w:hAnsi="Calibri"/>
          <w:b/>
          <w:color w:val="4A6B25"/>
          <w:sz w:val="15"/>
        </w:rPr>
        <w:t xml:space="preserve">3. </w:t>
      </w:r>
      <w:r>
        <w:rPr>
          <w:rFonts w:ascii="Calibri" w:hAnsi="Calibri"/>
          <w:b w:val="0"/>
          <w:color w:val="3A4A28"/>
          <w:sz w:val="17"/>
        </w:rPr>
        <w:t>Topgolf Callaway Brands Sustainability Report — ESG data, supplier ethics, environmental impact, 2023</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insider transaction data for CALY, retrieved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financial data for CALY (Callaway Golf),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