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CANG</w:t>
      </w:r>
      <w:r>
        <w:rPr>
          <w:rFonts w:ascii="Calibri" w:hAnsi="Calibri"/>
          <w:b/>
          <w:color w:val="1A2010"/>
          <w:sz w:val="40"/>
        </w:rPr>
        <w:t xml:space="preserve">  Cango Inc.</w:t>
      </w:r>
    </w:p>
    <w:p>
      <w:pPr>
        <w:spacing w:after="120"/>
      </w:pPr>
      <w:r>
        <w:rPr>
          <w:rFonts w:ascii="Calibri" w:hAnsi="Calibri"/>
          <w:b/>
          <w:color w:val="6E8450"/>
          <w:sz w:val="18"/>
        </w:rPr>
        <w:t>GROWTH SLEEVE · 2026-05-05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Cango Inc. operates a bitcoin mining business with mining operations across North America, the Middle East, South America, and East Africa. The company pivoted from its original Chinese auto financing platform to cryptocurrency mining in late 2024 and also operates an online international used car export business through AutoCango.com.</w:t>
      </w:r>
    </w:p>
    <w:p>
      <w:r>
        <w:rPr>
          <w:rFonts w:ascii="Calibri" w:hAnsi="Calibri"/>
          <w:b/>
          <w:color w:val="6E8450"/>
          <w:sz w:val="18"/>
        </w:rPr>
        <w:t>96 Employees · https://ir.cangoonline.com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Cango executed a dramatic business model transformation from Chinese auto transaction services to global Bitcoin mining in November 2024, rapidly deploying hash rate across four continents [1]. This is a significant pivot though its success remains unproven given the $452.8M net loss in 2025. AI Deployment (0/2): No AI products or AI-driven efficiency gains reported; the company mentions distributed AI computing as a pilot project but nothing is shipping or generating revenue [2]. Market Share (1/2): Cango claims to be among the world's largest Bitcoin miners by hash rate after its rapid buildout, though specific market share data is limited [1]. Pipeline (1/2): Management has articulated 2026 priorities around efficiency improvements, reducing cash cost per BTC (down 19.3% to $68,216 in March 2026), and exploring green energy and AI computing opportunities [3]. R&amp;D Intensity (0/1): No meaningful R&amp;D spend reported; the company is operationally focused on mining deployment rather than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Cango describes itself as a 'world-leading Bitcoin miner' focused on sustainable, high-performance computing, but this is a generic operational descriptor rather than a meaningful purpose statement [2]. No Just Cause or transformative vision is articulated beyond shareholder returns and operational efficiency. Community Impact (0/2): No evidence of charitable programs, community investment, or social impact initiatives. The company has just 96 employees and no public philanthropy record [2]. Employee Retention (0/2): With only 96 employees and a complete leadership overhaul in July 2025 (new CEO Peng Yu, new CFO, new board), there is no evidence of organizational stability or mission-driven retention [2]. Insider Buying (1/2): Limited data on insider transactions; the new leadership team acquired positions through the acquisition structure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1,258,730 shares × $0.45 stock price = $566,429, which is below the $1,000,000 liquidity threshold [4]. Infrastructure score is automatically set to 0 regardless of other metrics. Underlying fundamentals are also deeply challenged: -95.2% ROE, -90.4% profit margin, 141% D/E ratio, and a $452.8M net loss in FY2025 despite $688.1M in revenue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Cango is a fundamentally finite player that executed a complete business model pivot from Chinese auto financing to Bitcoin mining in pursuit of short-term cryptocurrency profits. The company has no enduring Just Cause, underwent a total leadership overhaul in 2025, and operates as a commodity miner with no articulated vision beyond efficiency improvements and cost reduction.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Cango abandoned its original auto financing business entirely to chase Bitcoin mining profits, then articulated no purpose beyond operational efficiency and shareholder returns [1][2]. The company exists to extract value from cryptocurrency markets, not to advance any broader vision of a better future. This is a textbook finite player — the strategy follows the money, not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signaled by complete leadership overhaul in July 2025 — new CEO, new CFO, new board of directors — following the acquisition and business pivot [2]. With only 96 employees and a company that has been completely restructured, there is no evidence of organizational stability, employee empowerment, or cultural cohesion. The rapid transformation suggests a transactional rather than trust-based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The company positions itself in competitive terms ('world-leading Bitcoin miner') focused on hash rate rankings and cost advantages rather than learning from rivals or industry collaboration [1]. The competitive framing is about scale and efficiency dominance, not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Cango demonstrated dramatic flexibility by abandoning its Chinese auto transaction platform entirely to become a global Bitcoin miner in late 2024 [1]. However, this pivot was driven by opportunism (chasing crypto profits) rather than service to a Just Cause. It demonstrates willingness to transform but not purpose-driven transformation. Sinek would view this as strategic desperation or greed, not existential flexibility in service of an enduring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in the Sinek sense. The business pivot was a financial play following money into Bitcoin mining, not a principled choice that sacrificed short-term results for long-term capability [1][2]. Leadership optimizes for mining economics and cost reduction — finite game metrics. No examples of investing in people, culture, or long-term capability over quarterly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Cango represents a high-risk speculative bet on Bitcoin mining economics. The company generated $688.1M in revenue in FY2025 (87.9% YoY growth) driven by its rapid buildout of mining operations across four continents following its November 2024 pivot from auto financing [1]. However, this came at a staggering cost: a net loss of $452.8M and adjusted EBITDA of just $24.5M for the year. Q4 2025 recorded a $156.3M adjusted EBITDA loss as transformation costs and fair-value adjustments overwhelmed mining revenue [1]. The forward P/E of 1.97x suggests the market prices significant earnings improvement in 2026 as one-time costs fade.</w:t>
      </w:r>
    </w:p>
    <w:p>
      <w:pPr>
        <w:spacing w:after="120"/>
      </w:pPr>
      <w:r>
        <w:rPr>
          <w:rFonts w:ascii="Calibri" w:hAnsi="Calibri"/>
          <w:b w:val="0"/>
          <w:color w:val="3A4A28"/>
          <w:sz w:val="20"/>
        </w:rPr>
        <w:t>The bear case is severe: the stock trades at $0.45 with minimal liquidity ($566K daily dollar volume), making institutional ownership impossible and creating significant execution risk for any position [4]. The -90.4% profit margin and -95.2% ROE indicate the business is currently destroying capital. Bitcoin price dependence creates binary risk — a sustained crypto downturn could render mining operations uneconomic given the $68,216 average cash cost per BTC reported in March 2026 [3]. The complete leadership overhaul, 96-person team operating global mining infrastructure, and absence of any competitive moat beyond scale create operational fragility. The company's pivot from auto financing to mining was opportunistic rather than strategic, and there is no evidence of sustainable competitive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above $80K would dramatically improve unit economics given the $68,216 average cash cost per BTC in March 2026 [3]</w:t>
      </w:r>
    </w:p>
    <w:p>
      <w:pPr>
        <w:spacing w:before="40" w:after="40"/>
        <w:ind w:left="283"/>
      </w:pPr>
      <w:r>
        <w:rPr>
          <w:rFonts w:ascii="Calibri" w:hAnsi="Calibri"/>
          <w:b/>
          <w:color w:val="4A6B25"/>
          <w:sz w:val="20"/>
        </w:rPr>
        <w:t xml:space="preserve">2. </w:t>
      </w:r>
      <w:r>
        <w:rPr>
          <w:rFonts w:ascii="Calibri" w:hAnsi="Calibri"/>
          <w:b w:val="0"/>
          <w:color w:val="3A4A28"/>
          <w:sz w:val="20"/>
        </w:rPr>
        <w:t>Mining efficiency improvements — management targeting further cost reductions after 19.3% decrease in cash cost per BTC from February to March 2026 [3]</w:t>
      </w:r>
    </w:p>
    <w:p>
      <w:pPr>
        <w:spacing w:before="40" w:after="40"/>
        <w:ind w:left="283"/>
      </w:pPr>
      <w:r>
        <w:rPr>
          <w:rFonts w:ascii="Calibri" w:hAnsi="Calibri"/>
          <w:b/>
          <w:color w:val="4A6B25"/>
          <w:sz w:val="20"/>
        </w:rPr>
        <w:t xml:space="preserve">3. </w:t>
      </w:r>
      <w:r>
        <w:rPr>
          <w:rFonts w:ascii="Calibri" w:hAnsi="Calibri"/>
          <w:b w:val="0"/>
          <w:color w:val="3A4A28"/>
          <w:sz w:val="20"/>
        </w:rPr>
        <w:t>Potential AI/HPC computing revenue from distributed computing pilot projects, which could diversify beyond pure Bitcoin mining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decline below mining cash cost ($68,216) would make operations unprofitable and could force asset write-downs on mining infrastructure [1][3]</w:t>
      </w:r>
    </w:p>
    <w:p>
      <w:pPr>
        <w:spacing w:before="40" w:after="40"/>
        <w:ind w:left="283"/>
      </w:pPr>
      <w:r>
        <w:rPr>
          <w:rFonts w:ascii="Calibri" w:hAnsi="Calibri"/>
          <w:b/>
          <w:color w:val="4A6B25"/>
          <w:sz w:val="20"/>
        </w:rPr>
        <w:t xml:space="preserve">2. </w:t>
      </w:r>
      <w:r>
        <w:rPr>
          <w:rFonts w:ascii="Calibri" w:hAnsi="Calibri"/>
          <w:b w:val="0"/>
          <w:color w:val="3A4A28"/>
          <w:sz w:val="20"/>
        </w:rPr>
        <w:t>Severe illiquidity — $566K daily dollar volume makes the stock untradeable for institutional investors and creates wide bid-ask spreads [4]</w:t>
      </w:r>
    </w:p>
    <w:p>
      <w:pPr>
        <w:spacing w:before="40" w:after="40"/>
        <w:ind w:left="283"/>
      </w:pPr>
      <w:r>
        <w:rPr>
          <w:rFonts w:ascii="Calibri" w:hAnsi="Calibri"/>
          <w:b/>
          <w:color w:val="4A6B25"/>
          <w:sz w:val="20"/>
        </w:rPr>
        <w:t xml:space="preserve">3. </w:t>
      </w:r>
      <w:r>
        <w:rPr>
          <w:rFonts w:ascii="Calibri" w:hAnsi="Calibri"/>
          <w:b w:val="0"/>
          <w:color w:val="3A4A28"/>
          <w:sz w:val="20"/>
        </w:rPr>
        <w:t>Operational fragility with 96 employees managing global mining operations across 4 continents, plus complete leadership overhaul in 2025 creating execution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Bitcoin mining is a physical-world operation involving hardware deployment, energy procurement, and facility management that AI cannot directly displace [1]. However, the business is essentially a commodity operation — AI optimization of mining algorithms, energy arbitrage, and competitor efficiency gains could compress margins for less efficient operators. The industry faces no direct AI substitution risk but also has no proprietary moat against AI-enhanced competitors. AI Opportunity (0/1): While Cango has mentioned distributed AI computing pilot projects, no AI revenue has been reported or quantified [2][3]. The company is exploring HPC/AI computing opportunities but nothing is generating revenue yet.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Cango Inc. Q4 and Full Year 2025 Unaudited Financial Results — PR 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Cango Inc. Announces Completion of Secondary Acquisition and Appointment of New Leadership Team — PR Newswire, July 2025</w:t>
      </w:r>
    </w:p>
    <w:p>
      <w:pPr>
        <w:spacing w:before="20" w:after="20"/>
        <w:ind w:left="170"/>
      </w:pPr>
      <w:r>
        <w:rPr>
          <w:rFonts w:ascii="Calibri" w:hAnsi="Calibri"/>
          <w:b/>
          <w:color w:val="4A6B25"/>
          <w:sz w:val="15"/>
        </w:rPr>
        <w:t xml:space="preserve">3. </w:t>
      </w:r>
      <w:r>
        <w:rPr>
          <w:rFonts w:ascii="Calibri" w:hAnsi="Calibri"/>
          <w:b w:val="0"/>
          <w:color w:val="3A4A28"/>
          <w:sz w:val="17"/>
        </w:rPr>
        <w:t>Cango Inc. Updates March 2026 Operations: Focus on Efficiency and Cost Savings — Finanzwire,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CANG key statistics and yfinance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