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CAPR</w:t>
      </w:r>
      <w:r>
        <w:rPr>
          <w:rFonts w:ascii="Calibri" w:hAnsi="Calibri"/>
          <w:b/>
          <w:color w:val="1A2010"/>
          <w:sz w:val="40"/>
        </w:rPr>
        <w:t xml:space="preserve">  Capricor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2026-04-26 · Inspire: 27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Capricor Therapeutics is a clinical-stage biotechnology company developing transformative cell and exosome-based therapeutics. Its lead candidate, Deramiocel (CAP-1002), is an allogeneic cardiosphere-derived cell therapy for Duchenne muscular dystrophy (DMD). The company also develops its proprietary StealthX exosome platform for targeted delivery and vaccinology applications.</w:t>
      </w:r>
    </w:p>
    <w:p>
      <w:r>
        <w:rPr>
          <w:rFonts w:ascii="Calibri" w:hAnsi="Calibri"/>
          <w:b/>
          <w:color w:val="6E8450"/>
          <w:sz w:val="18"/>
        </w:rPr>
        <w:t>231 Employees · https://www.capricor.com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Capricor has advanced Deramiocel through Phase 3 clinical trials for DMD and received Breakthrough Therapy designation from the FDA, a meaningful clinical milestone [1]. The BLA was filed and is under active review with a PDUFA date of August 22, 2026 [1]. However, the initial Complete Response Letter from the FDA indicates regulatory execution challenges. AI Deployment (0/2): No evidence of AI-powered products or AI-driven cost savings; the company operates in traditional cell therapy development [2]. Market Share (2/2): Deramiocel, if approved, would be a first-in-class allogeneic cell therapy for DMD, addressing a rare disease with ~12,000 patients in the U.S. and limited treatment options — a category-defining position [1]. Pipeline (1/2): The StealthX exosome platform represents a next-generation delivery technology with preclinical programs in vaccines and additional indications, though timelines remain vague [3]. R&amp;D Intensity (1/1): R&amp;D spending of $82.8M in FY2025 against $0 revenue demonstrates extreme R&amp;D intensity typical of clinical-stage biotech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Capricor's mission centers on developing life-changing therapies for patients with serious diseases, particularly the DMD community — a deeply purposeful and specific cause validated by 16 years of Dr. Marbán's leadership [2]. The focus on rare disease creates genuine patient-centered purpose. Community Impact (1/2): The company actively engages with the DMD patient community through CureDuchenne partnerships and patient advocacy organizations, with measurable community engagement though limited in scale given 231 employees [2]. Employee Retention (0/2): Mixed Glassdoor ratings (3.4/5 culture, 58% recommend) suggest adequate but unexceptional employee sentiment; no evidence of above-average retention or long tenure data [2]. Insider Buying (1/2): Nippon Shinyaku purchased $15M in shares in September 2024 as a strategic investor, though recent insider activity shows significant selling by directors and officers in early 2026, including $3.5M+ in sales by Director Sabar and option exercises followed by sales by CFO and General Counsel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Capricor is a pre-revenue clinical-stage biotech with $0 revenue in FY2025 (down from $22.3M in FY2024 grant/contract revenue) and a net loss of $105M [1]. The balance sheet is asset-light with D/E of only 4.7%, but ROE is deeply negative at -46.6% reflecting sustained losses. Forward P/E of -56.7x confirms no near-term profitability. The sole positive metric is PEG of 0.38 reflecting analyst expectations for future earnings post-approval. Cash of $318.1M provides runway into 2027 [1]. Liquidity is adequate: 1.26M avg daily volume × $35.27 = $44.4M daily turnover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Capricor under Dr. Linda Marbán demonstrates meaningful infinite game characteristics — 16 years of persistent pursuit of a cell therapy for DMD despite setbacks, including an FDA Complete Response Letter. The company's commitment to rare disease patients reflects a genuine just cause, though limited organizational scale and binary FDA risk constrain the infinite game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Capricor's purpose — developing life-changing cell therapies for DMD patients — is genuine, specific, and validated by 16 years of consistent pursuit under Dr. Marbán's leadership [2]. The focus on rare disease where patients have few options creates a patient-centered cause that goes beyond profit. However, the cause hasn't been tested through the kind of multi-decade, multi-product-cycle validation that earns top marks; the company remains pre-revenue and single-product-focused.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Capricor is a small 231-person organization with stable leadership — Dr. Marbán has led for 16 years and key executives have multi-year tenures [2]. However, Glassdoor ratings of 3.4/5 for culture and only 58% recommending the workplace suggest adequate but not exceptional organizational trust. No evidence of standout cultural practices or employee empowerment programs.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in public materials or management commentary of Capricor acknowledging competitors' strengths or framing competition as motivation for self-improvement [2]. As a rare disease biotech with a potentially first-in-class therapy, the company operates more in a regulatory race than a competitive market, with limited rival engagement visible in communications.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Capricor has evolved from its original cardiac regeneration focus to DMD as the lead indication, and more recently expanded into the StealthX exosome platform — demonstrating willingness to pivot toward higher-value opportunities [3]. However, these shifts are incremental extensions of cell therapy expertise rather than transformative reinventions of the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Dr. Marbán's decision to persist through the FDA Complete Response Letter and raise $318M in cash to fund continued development demonstrates conviction in the face of regulatory adversity [1]. The company invested $82.8M in R&amp;D in FY2025 despite zero revenue, showing willingness to prioritize long-term drug development over short-term financial metrics.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Capricor Therapeutics represents a high-risk/high-reward binary biotech opportunity centered on the FDA approval of Deramiocel for Duchenne muscular dystrophy. The PDUFA target date of August 22, 2026 is the defining catalyst — approval would make Deramiocel a first-in-class allogeneic cell therapy for DMD, addressing ~12,000 U.S. patients with limited treatment alternatives [1]. The company raised $318.1M in cash (as of December 2025), providing runway into 2027 and sufficient capital to fund a potential commercial launch [1]. The StealthX exosome platform adds optionality beyond DMD with potential applications in vaccines and targeted delivery [3]. Dr. Marbán's 16-year tenure provides leadership continuity through the critical regulatory period.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binary FDA risk. The BLA previously received a Complete Response Letter, and while the resubmission has been accepted for review, FDA rejection or further delay would be devastating to the stock given $0 current revenue and $105M annual cash burn [1]. Recent insider selling by multiple executives (Director Sabar: $3.7M, CFO Bergmann: $753K, General Counsel Krasney: $753K in March-April 2026) raises concerns about insider conviction ahead of the PDUFA date [4]. Even with approval, commercial execution for a cell therapy in a rare disease population is challenging — manufacturing scale-up, reimbursement negotiations, and the small addressable patient population limit revenue upside. The $2B market cap prices in significant approval probability, leaving limited margin of safety if the outcome is negative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PDUFA target action date of August 22, 2026 for Deramiocel BLA — FDA approval would create a first-in-class allogeneic cell therapy for DMD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StealthX exosome platform advancement into clinical-stage programs could diversify the pipeline beyond DMD and validate the platform technology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position of $318.1M provides runway into 2027 and enables immediate commercial launch if Deramiocel is approved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FDA risk — prior Complete Response Letter and uncertain regulatory outcome could result in rejection or further delay, devastating the stock at $0 current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Significant insider selling by director and officers in March-April 2026 ($5.2M+ in aggregate sales) ahead of the August 2026 PDUFA date signals potential insider caution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Commercial execution risk — cell therapy manufacturing scale-up, reimbursement challenges, and small DMD patient population (~12,000 U.S.) limit peak revenue potential relative to $2B market cap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Capricor's core business — developing allogeneic cell therapies and exosome-based biologics — is fundamentally immune to AI disruption [2]. Cell therapy manufacturing, FDA regulatory processes, and clinical development for rare diseases require physical-world operations, wet lab research, and deeply regulated approval pathways that AI cannot replace. AI may modestly accelerate drug discovery timelines but cannot substitute the physical manufacturing of cardiosphere-derived cells or clinical trial execution. The DMD patient population requires hands-on medical intervention that is structurally resistant to digital substitution. AI Opportunity (0/1): No evidence of AI-generated revenue or AI-powered products; the company's therapeutic approach is biology-driven rather than computationally driven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Capricor Therapeutics Q4 and Full Year 2025 Financial Results Press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Capricor Therapeutics corporate website — Leadership, About, and Mission pages,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Simply Wall St — Capricor Therapeutics exosome platform analysis and pipeline overview,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SEC EDGAR — Capricor Therapeutics Form 4 insider transaction filings, March-April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CAPR key statistics and market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