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CARG</w:t>
      </w:r>
      <w:r>
        <w:rPr>
          <w:rFonts w:ascii="Calibri" w:hAnsi="Calibri"/>
          <w:b/>
          <w:color w:val="1A2010"/>
          <w:sz w:val="40"/>
        </w:rPr>
        <w:t xml:space="preserve">  CarGurus, Inc.</w:t>
      </w:r>
    </w:p>
    <w:p>
      <w:pPr>
        <w:spacing w:after="120"/>
      </w:pPr>
      <w:r>
        <w:rPr>
          <w:rFonts w:ascii="Calibri" w:hAnsi="Calibri"/>
          <w:b/>
          <w:color w:val="6E8450"/>
          <w:sz w:val="18"/>
        </w:rPr>
        <w:t>GROWTH SLEEVE · 2026-04-30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NASDAQ · United States</w:t>
      </w:r>
    </w:p>
    <w:p>
      <w:pPr>
        <w:spacing w:after="80"/>
      </w:pPr>
      <w:r>
        <w:rPr>
          <w:rFonts w:ascii="Calibri" w:hAnsi="Calibri"/>
          <w:b w:val="0"/>
          <w:color w:val="3A4A28"/>
          <w:sz w:val="20"/>
        </w:rPr>
        <w:t>CarGurus operates an online automotive marketplace connecting buyers and sellers of new and used vehicles. The platform uses proprietary data analytics and AI to provide pricing transparency, dealer inventory management, and consumer search tools. CarGurus serves over 26,000 dealer partners globally across the US, Canada, and UK markets.</w:t>
      </w:r>
    </w:p>
    <w:p>
      <w:r>
        <w:rPr>
          <w:rFonts w:ascii="Calibri" w:hAnsi="Calibri"/>
          <w:b/>
          <w:color w:val="6E8450"/>
          <w:sz w:val="18"/>
        </w:rPr>
        <w:t>1,218 Employees · https://www.cargurus.com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CarGurus grew full-year revenue 14% to $907M in 2025 with Q4 up 15% to $241M, driven by record dealer network expansion and marketplace adoption [1]. The 2024 divestiture of CarOffer refocused the business on its core marketplace, a significant strategic pivot. AI Deployment (2/2): AI is central to CarGurus' product strategy — the company is accelerating AI-driven product launches for both dealers and consumers, including AI-powered pricing intelligence, personalized search, and dealer workflow automation [2][3]. Management has committed to accepting 1.5-2.5 percentage points of margin compression in 2026 specifically to fund AI product development [1]. Market Share (2/2): CarGurus is the most visited automotive marketplace in the US, serving 26,000+ dealers with proprietary real-time market intelligence that drives category leadership [3]. Pipeline (1/2): 2026 guidance of 10-13% revenue growth with international expansion targeting 27% growth signals a strong pipeline, though specific new products beyond 'AI-driven launches' lack detail [1]. R&amp;D Intensity (0/1): R&amp;D spending figures are not separately disclosed; technology investment is embedded in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CarGurus' mission is to give people the power to reach their destination — focused on transparency and trust in car buying, a genuinely distinctive purpose that differentiates from traditional automotive marketplaces [2][3]. The commitment to pricing transparency reflects intentionality. Community Impact (1/2): CarGurus' new Boston headquarters includes environmental features (EV charging, transit access) and the company publishes a Corporate Social Responsibility report, though specific charitable dollar amounts are not prominently disclosed [4]. Employee Retention (1/2): Glassdoor rating of 4.1/5 with 81% recommending, 4.5/5 for culture and values, and 4.3 for work-life balance — well above industry average, suggesting employees stay for the culture [3]. Insider Buying (1/2): Mixed insider activity — several small purchases in April 2026 ($143K-$180K each) alongside large stock-based compensation grants, suggesting moderate insider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CarGurus displays excellent financial fundamentals for a growth stock. Revenue grew 14% YoY to $907M with forward guidance of 10-13% growth in 2026, demonstrating consistent double-digit expansion [1]. Debt-to-equity of 51% is conservative, ROE of 43% is exceptional, and profit margin of 17.2% is strong for a marketplace business [5]. Forward P/E of 12.6x and PEG of 1.11x represent compelling valuation for a double-digit grower — well below typical marketplace multiples [5]. Net income surged to $156M in 2025 from $21M in 2024, showing significant operating leverage as the post-CarOffer business model matures [5]. Liquidity floor easily cleared at $48M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CarGurus under CEO Trevisan shows meaningful infinite game characteristics — a genuine mission around automotive transparency, strong employee culture, and strategic patience in divesting CarOffer to refocus on the core marketplace. However, the company's competitive framing and growth targets remain largely finite, and at 20 years old it has not yet been tested through a major existential crisis.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CarGurus' mission to bring transparency and trust to the car-buying experience is genuine and distinctive — it reflects a real consumer pain point and differentiates from competitors who primarily serve dealer interests [2][3]. The company's founding principle of empowering consumers through data and pricing transparency has been validated by 20 years of consistent marketplace leadership. However, it falls short of a transformative Just Cause — it's a better way to buy cars, not a vision of a fundamentally different future.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scores of 4.5/5 for culture and values and 4.3/5 for work-life balance are exceptional for a tech company, with 81% of employees recommending CarGurus [3]. The company describes itself as a people-first culture that fosters kindness, collaboration, and innovation. CEO Trevisan's five-year tenure has brought stability, though the 1,218-person headcount is relatively small, making cultural assessment based on limited data.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CarGurus acknowledges competition from AutoTrader, Cars.com, and emerging AI-powered platforms, framing competitive dynamics as motivation to accelerate innovation rather than market share warfare [1][3]. The 2026 strategic focus on AI product differentiation rather than price competition demonstrates an improvement-oriented competitive mindset.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 divestiture of CarOffer (a dealer-to-dealer wholesale marketplace acquired for ~$800M) to refocus on the core consumer marketplace demonstrated meaningful strategic flexibility — walking away from a large acquisition that wasn't working [1]. This pivot improved profitability significantly (net income surged from $21M to $156M). However, this was a corrective action rather than a transformative reinvention of the business model.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decision to accept 1.5-2.5 percentage points of EBITDA margin compression in 2026 to fund AI product development shows willingness to sacrifice short-term profitability for long-term capability [1]. The CarOffer divestiture also required courage — acknowledging a failed acquisition and taking the write-down. However, these are incremental acts of courage rather than a pattern of transformative long-term bets.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CarGurus is the most-visited automotive marketplace in the US, delivering 14% revenue growth to $907M in 2025 with net income surging to $156M from $21M following the strategic CarOffer divestiture [1][5]. At 12.6x forward P/E and a 1.11 PEG ratio, the stock is attractively valued for a double-digit grower with 43% ROE and a clean 51% debt-to-equity balance sheet [5]. The 2026 guidance of 10-13% revenue growth with 27% international expansion and accelerating AI product launches positions CarGurus as a compounding marketplace business with significant operating leverage still to be unlocked [1]. The 26,000+ dealer network creates meaningful switching costs and recurring revenue characteristics.</w:t>
      </w:r>
    </w:p>
    <w:p>
      <w:pPr>
        <w:spacing w:after="120"/>
      </w:pPr>
      <w:r>
        <w:rPr>
          <w:rFonts w:ascii="Calibri" w:hAnsi="Calibri"/>
          <w:b w:val="0"/>
          <w:color w:val="3A4A28"/>
          <w:sz w:val="20"/>
        </w:rPr>
        <w:t>The bear case centers on competitive disruption and marketplace commoditization. AI assistants from Google, Amazon, and automakers could disrupt how consumers discover and purchase vehicles, potentially disintermediating marketplace platforms entirely [3]. The automotive market is cyclical — tariffs, interest rate sensitivity, and consumer confidence swings could compress dealer advertising budgets and marketplace demand. The CarOffer divestiture, while strategically sound, represents an ~$800M capital allocation failure that destroyed shareholder value. EBITDA margin compression of 1.5-2.5 percentage points in 2026 for AI investment is a bet that may not pay off if AI products fail to differentiate. International revenue (targeting 27% growth) faces execution risk in markets where local competitors have established dealer relationships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product acceleration — management investing margin points in AI-driven dealer tools and consumer personalization expected to drive wallet share expansion through 2026 [1][2]</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targeting 27% revenue growth, particularly in UK and Canadian markets where CarGurus has established presence [1]</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from post-CarOffer business model — net income grew 7x to $156M in 2025, with further margin expansion potential as the platform scales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marketplace disruption — tech giants (Google, Amazon) or automakers deploying AI-powered direct-to-consumer vehicle purchasing could disintermediate CarGurus' marketplace model [3]</w:t>
      </w:r>
    </w:p>
    <w:p>
      <w:pPr>
        <w:spacing w:before="40" w:after="40"/>
        <w:ind w:left="283"/>
      </w:pPr>
      <w:r>
        <w:rPr>
          <w:rFonts w:ascii="Calibri" w:hAnsi="Calibri"/>
          <w:b/>
          <w:color w:val="4A6B25"/>
          <w:sz w:val="20"/>
        </w:rPr>
        <w:t xml:space="preserve">2. </w:t>
      </w:r>
      <w:r>
        <w:rPr>
          <w:rFonts w:ascii="Calibri" w:hAnsi="Calibri"/>
          <w:b w:val="0"/>
          <w:color w:val="3A4A28"/>
          <w:sz w:val="20"/>
        </w:rPr>
        <w:t>Automotive cyclicality — tariff impacts, interest rate sensitivity, and consumer confidence shifts could compress dealer advertising budgets and marketplace traffic [1]</w:t>
      </w:r>
    </w:p>
    <w:p>
      <w:pPr>
        <w:spacing w:before="40" w:after="40"/>
        <w:ind w:left="283"/>
      </w:pPr>
      <w:r>
        <w:rPr>
          <w:rFonts w:ascii="Calibri" w:hAnsi="Calibri"/>
          <w:b/>
          <w:color w:val="4A6B25"/>
          <w:sz w:val="20"/>
        </w:rPr>
        <w:t xml:space="preserve">3. </w:t>
      </w:r>
      <w:r>
        <w:rPr>
          <w:rFonts w:ascii="Calibri" w:hAnsi="Calibri"/>
          <w:b w:val="0"/>
          <w:color w:val="3A4A28"/>
          <w:sz w:val="20"/>
        </w:rPr>
        <w:t>EBITDA margin compression in 2026 from AI investment (1.5-2.5 percentage points) may not deliver proportional revenue growth, creating execution risk on the AI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CarGurus operates a digital marketplace that faces moderate AI disruption risk. AI-powered tools from automakers, tech giants (Google Shopping, Amazon), or new entrants could disrupt the dealer-to-consumer marketplace model by enabling direct-to-consumer vehicle purchasing or AI-powered price comparison that bypasses marketplace platforms [3]. The reliance on search traffic and digital advertising is vulnerable to changes in how consumers discover vehicles as AI assistants evolve. However, CarGurus' proprietary pricing data, dealer network relationships, and 26,000+ dealer partnerships create meaningful switching costs. AI Opportunity (1/1): CarGurus is actively deploying AI across its platform — AI-driven pricing tools, personalized search, and dealer workflow automation are shipping products generating revenue, and the company is investing margin dollars in accelerating AI product launches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CarGurus Q4 and Full-Year 2025 Earnings Release — $907M revenue, 14% growth, 10-13%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CarGurus 20th Anniversary Press Release — AI-powered innovation strategy, 2026</w:t>
      </w:r>
    </w:p>
    <w:p>
      <w:pPr>
        <w:spacing w:before="20" w:after="20"/>
        <w:ind w:left="170"/>
      </w:pPr>
      <w:r>
        <w:rPr>
          <w:rFonts w:ascii="Calibri" w:hAnsi="Calibri"/>
          <w:b/>
          <w:color w:val="4A6B25"/>
          <w:sz w:val="15"/>
        </w:rPr>
        <w:t xml:space="preserve">3. </w:t>
      </w:r>
      <w:r>
        <w:rPr>
          <w:rFonts w:ascii="Calibri" w:hAnsi="Calibri"/>
          <w:b w:val="0"/>
          <w:color w:val="3A4A28"/>
          <w:sz w:val="17"/>
        </w:rPr>
        <w:t>CarGurus Leadership Team page, Glassdoor reviews (4.1/5, 81% recommend), AI strategy commentary</w:t>
      </w:r>
    </w:p>
    <w:p>
      <w:pPr>
        <w:spacing w:before="20" w:after="20"/>
        <w:ind w:left="170"/>
      </w:pPr>
      <w:r>
        <w:rPr>
          <w:rFonts w:ascii="Calibri" w:hAnsi="Calibri"/>
          <w:b/>
          <w:color w:val="4A6B25"/>
          <w:sz w:val="15"/>
        </w:rPr>
        <w:t xml:space="preserve">4. </w:t>
      </w:r>
      <w:r>
        <w:rPr>
          <w:rFonts w:ascii="Calibri" w:hAnsi="Calibri"/>
          <w:b w:val="0"/>
          <w:color w:val="3A4A28"/>
          <w:sz w:val="17"/>
        </w:rPr>
        <w:t>CarGurus ESG page and Corporate Social Responsibility Report,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CARG (CarGurus),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