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CARR</w:t>
      </w:r>
      <w:r>
        <w:rPr>
          <w:rFonts w:ascii="Calibri" w:hAnsi="Calibri"/>
          <w:b/>
          <w:color w:val="1A2010"/>
          <w:sz w:val="40"/>
        </w:rPr>
        <w:t xml:space="preserve">  Carrier Global Corporation</w:t>
      </w:r>
    </w:p>
    <w:p>
      <w:pPr>
        <w:spacing w:after="120"/>
      </w:pPr>
      <w:r>
        <w:rPr>
          <w:rFonts w:ascii="Calibri" w:hAnsi="Calibri"/>
          <w:b/>
          <w:color w:val="6E8450"/>
          <w:sz w:val="18"/>
        </w:rPr>
        <w:t>GROWTH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Carrier Global is a global leader in intelligent climate and energy solutions, operating across HVAC, refrigeration, and building automation. The company serves commercial, residential, and data center markets with heating, cooling, and refrigeration products. After divesting fire &amp; security and acquiring Viessmann Climate Solutions for $13B, Carrier is transforming into a pure-play climate technology company.</w:t>
      </w:r>
    </w:p>
    <w:p>
      <w:r>
        <w:rPr>
          <w:rFonts w:ascii="Calibri" w:hAnsi="Calibri"/>
          <w:b/>
          <w:color w:val="6E8450"/>
          <w:sz w:val="18"/>
        </w:rPr>
        <w:t>47,000 Employees · https://www.carrier.com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Carrier executed a transformative portfolio reshaping — acquiring Viessmann Climate Solutions for ~$13B to expand European heat pump capabilities while divesting fire &amp; security and commercial refrigeration to focus on climate solutions [1]. Data center cooling emerged as a major growth vector with Q4 2025 orders surging 400% and revenue projected to grow from $1B (2025) to $1.5B (2026) [1]. AI Deployment (2/2): Carrier deployed AI across multiple dimensions — Google Cloud partnership for AI-powered home energy management integrating WeatherNext AI models from DeepMind, ketteQ AI-driven supply chain optimization across global HVAC operations, and Lynx FacTOR SaaS product for pharmaceutical industry [2]. Established a 100+ employee AI Center of Excellence in India. Market Share (2/2): Global leader in commercial HVAC with 40% of portfolio in commercial solutions and a growing data center cooling business. The Viessmann acquisition made Carrier the European heat pump leader [1]. Pipeline (1/2): Data center cooling roadmap with mag-lev chillers and in-house CDUs targeting 50% segment growth in 2026; heat pump expansion across Europe; but residential recovery timing uncertain [1]. R&amp;D Intensity (1/1): Planned $2B+ investment over 10 years in sustainable building and cold chain solutions, plus dedicated AI Center of Excellence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Carrier's purpose of 'creating solutions that matter for people and our planet' is backed by a specific gigaton commitment — reducing customers' carbon footprint by more than one gigaton, with products already helping avoid an estimated 290 million metric tons of CO2e between 2000-2019 [3]. The mission connects climate technology to measurable planetary impact. Community Impact (1/2): The employee scholar program has invested more than $156M since 1996 to advance employees' formal education — a distinctive, long-running program with quantifiable impact [3]. Over 30% of executives are female and 50% of CEO direct reports are diverse. Employee Retention (0/2): Glassdoor rating of 3.4/5.0 with concerning reviews — 'culture rewards long hours and compliance over smart, efficient work,' 'high performers are not valued,' and recent massive layoffs affecting 'strongest contributors' [2]. Insider Buying (0/2): No evidence of meaningful net insider buying. CEO Gitlin's $65.7M compensation is 97.8% stock/options-based but primarily through grants rather than open 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Carrier generates $21.7B in revenue with 2026 guidance of ~$22B and ~$3.4B adjusted operating profit [1]. D/E of 87.7% is manageable for an industrial company post-$13B Viessmann acquisition. ROE of 10.9% is below the 15% target but improving as integration synergies materialize. Forward P/E of 17.1x is attractive for a company with strong secular tailwinds in data center cooling and heat pumps [1]. The -6% YoY revenue decline reflects portfolio divestitures (fire &amp; security) rather than organic weakness — 2026 guides to flat-to-low-mid single-digit organic growth. 3yr revenue CAGR of ~8% (FY2022 $17.3B to FY2025 $21.7B) reflects Viessmann-driven expansion. Profit margin of 6.8% is thin but expected to expand with $100M overhead savings in 2026. FCF guidance of ~$2B and $1.5B share buyback demonstrate capital return capacity [1]. Liquidity: 7.2M avg vol × $54.25 = $392M.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Carrier under David Gitlin is transforming from a diversified industrials spin-off into a focused climate technology leader, with the $13B Viessmann acquisition and fire/security divestiture representing bold strategic bets in service of a sustainability-driven purpose. The gigaton carbon reduction commitment and Harvard Business School leadership development program suggest infinite game thinking, though Glassdoor reviews reveal cultural challenges that undermine the internal experience.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Carrier's commitment to reducing customers' carbon footprint by more than one gigaton is a measurable, specific cause that connects the company's HVAC technology to climate impact [3]. The $2B+ sustainability investment and portfolio transformation (divesting fire/security, acquiring Viessmann heat pumps) show strategic decisions tracing back to this purpose. However, the cause is still relatively young — Carrier only became independent in 2020 — and hasn't been tested through multi-decade consistency.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Harvard Business School 'Catalyst' leadership program through five cohorts and $156M employee scholar program demonstrate investment in people [2][3]. However, Glassdoor reviews (3.4/5.0) describe a culture that 'rewards long hours and compliance over smart, efficient work,' where 'high performers are not valued' and recent layoffs affected 'strongest contributors' [2].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Carrier's partnership approach demonstrates infinite competitive thinking — collaborating with Google Cloud on AI-powered energy management rather than building in-house, partnering with ketteQ for supply chain AI, and acknowledging the competitive data center cooling landscape [2]. Management frames data center growth as a market opportunity requiring continuous innovation rather than a battle to 'win' against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Carrier has meaningfully evolved since its 2020 spin-off from United Technologies — divesting fire &amp; security and commercial refrigeration businesses while acquiring Viessmann for $13B to pivot toward climate solutions [1]. These are significant portfolio shifts, but they represent strategic refinement within the same industry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$13B Viessmann acquisition was a bold, bet-the-company move that dramatically expanded Carrier's European heat pump business while taking on significant debt during a period of rising interest rates [1]. Simultaneously divesting fire &amp; security (a profitable, stable business) to focus exclusively on climate solutions shows willingness to sacrifice diversification for strategic clarity. Targeting 400% data center cooling order growth and investing in AI capabilities while navigating residential HVAC weakness demonstrates long-term conviction over short-term optimization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Carrier Global is transforming into a pure-play climate technology leader with powerful secular tailwinds. Data center cooling orders surged 400% in Q4 2025, with the segment projected to grow from $1B to $1.5B in 2026 as AI compute buildouts demand sophisticated thermal management [1]. Commercial HVAC represents 40% of the portfolio with continued double-digit growth, and the $13B Viessmann acquisition positions Carrier as the European heat pump leader in the energy transition [1]. At 17.1x forward P/E with ~$22B revenue guidance, $3.4B adjusted operating profit, and ~$2B FCF, the stock is attractively valued for a company benefiting from AI infrastructure buildout and decarbonization megatrends. The $1.5B share buyback and $100M overhead savings provide near-term earnings support while long-term data center and heat pump markets expand [1].</w:t>
      </w:r>
    </w:p>
    <w:p>
      <w:pPr>
        <w:spacing w:after="120"/>
      </w:pPr>
      <w:r>
        <w:rPr>
          <w:rFonts w:ascii="Calibri" w:hAnsi="Calibri"/>
          <w:b w:val="0"/>
          <w:color w:val="3A4A28"/>
          <w:sz w:val="20"/>
        </w:rPr>
        <w:t>The bear case centers on residential HVAC weakness and integration risk. Americas residential HVAC volumes are forecast down 10-15% in 2026, with field inventory down 32% in January — the CSA segment saw volumes decline 38% in Q4 2025 [1]. The $13B Viessmann acquisition at a premium valuation carries integration and synergy realization risk, and D/E of 87.7% limits financial flexibility during a residential downturn. Profit margin of 6.8% is thin for an industrial leader and reflects the ongoing portfolio transformation costs. The data center cooling thesis depends on sustained AI capex spending — any slowdown in hyperscaler buildout (evidenced by cheaper AI models like DeepSeek) could impact the $1.5B 2026 target [2]. European heat pump demand is subject to regulatory uncertainty and natural gas price volatility. Glassdoor reviews (3.4/5.0) flag cultural concerns including layoffs and retention of 'strong contributors' during restructuring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cooling revenue projected to grow 50% from $1B to $1.5B in 2026, driven by AI infrastructure buildout with Q4 2025 orders surging 400% [1]</w:t>
      </w:r>
    </w:p>
    <w:p>
      <w:pPr>
        <w:spacing w:before="40" w:after="40"/>
        <w:ind w:left="283"/>
      </w:pPr>
      <w:r>
        <w:rPr>
          <w:rFonts w:ascii="Calibri" w:hAnsi="Calibri"/>
          <w:b/>
          <w:color w:val="4A6B25"/>
          <w:sz w:val="20"/>
        </w:rPr>
        <w:t xml:space="preserve">2. </w:t>
      </w:r>
      <w:r>
        <w:rPr>
          <w:rFonts w:ascii="Calibri" w:hAnsi="Calibri"/>
          <w:b w:val="0"/>
          <w:color w:val="3A4A28"/>
          <w:sz w:val="20"/>
        </w:rPr>
        <w:t>Viessmann integration synergies materializing — European heat pump leadership in a market driven by energy transition regulation and decarbonization mandates [1]</w:t>
      </w:r>
    </w:p>
    <w:p>
      <w:pPr>
        <w:spacing w:before="40" w:after="40"/>
        <w:ind w:left="283"/>
      </w:pPr>
      <w:r>
        <w:rPr>
          <w:rFonts w:ascii="Calibri" w:hAnsi="Calibri"/>
          <w:b/>
          <w:color w:val="4A6B25"/>
          <w:sz w:val="20"/>
        </w:rPr>
        <w:t xml:space="preserve">3. </w:t>
      </w:r>
      <w:r>
        <w:rPr>
          <w:rFonts w:ascii="Calibri" w:hAnsi="Calibri"/>
          <w:b w:val="0"/>
          <w:color w:val="3A4A28"/>
          <w:sz w:val="20"/>
        </w:rPr>
        <w:t>Residential HVAC recovery in H2 2026 with 40%+ incremental margins as destocking eases and the 9M unit/year replacement cycle normalizes from the depressed 6.5M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Americas residential HVAC downturn deeper or longer than expected — volumes forecast down 10-15% in 2026 with field inventory down 32%, potentially extending weakness into 2027 [1]</w:t>
      </w:r>
    </w:p>
    <w:p>
      <w:pPr>
        <w:spacing w:before="40" w:after="40"/>
        <w:ind w:left="283"/>
      </w:pPr>
      <w:r>
        <w:rPr>
          <w:rFonts w:ascii="Calibri" w:hAnsi="Calibri"/>
          <w:b/>
          <w:color w:val="4A6B25"/>
          <w:sz w:val="20"/>
        </w:rPr>
        <w:t xml:space="preserve">2. </w:t>
      </w:r>
      <w:r>
        <w:rPr>
          <w:rFonts w:ascii="Calibri" w:hAnsi="Calibri"/>
          <w:b w:val="0"/>
          <w:color w:val="3A4A28"/>
          <w:sz w:val="20"/>
        </w:rPr>
        <w:t>AI capex spending slowdown — cheaper AI models (DeepSeek) or hyperscaler budget discipline could reduce data center cooling demand growth below the 50% target [2]</w:t>
      </w:r>
    </w:p>
    <w:p>
      <w:pPr>
        <w:spacing w:before="40" w:after="40"/>
        <w:ind w:left="283"/>
      </w:pPr>
      <w:r>
        <w:rPr>
          <w:rFonts w:ascii="Calibri" w:hAnsi="Calibri"/>
          <w:b/>
          <w:color w:val="4A6B25"/>
          <w:sz w:val="20"/>
        </w:rPr>
        <w:t xml:space="preserve">3. </w:t>
      </w:r>
      <w:r>
        <w:rPr>
          <w:rFonts w:ascii="Calibri" w:hAnsi="Calibri"/>
          <w:b w:val="0"/>
          <w:color w:val="3A4A28"/>
          <w:sz w:val="20"/>
        </w:rPr>
        <w:t>Viessmann integration risk — $13B acquisition at premium valuation with D/E of 87.7%, European heat pump demand subject to regulatory changes and gas price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Carrier's core business — manufacturing, installing, and servicing physical HVAC equipment, chillers, and cooling systems — is structurally immune to AI disruption. Buildings and data centers require physical heating, cooling, and refrigeration infrastructure that software cannot replace [2]. More critically, AI is a massive demand driver: data center cooling revenue is projected to grow 50% in 2026 (from $1B to $1.5B) as AI compute buildouts require increasingly sophisticated thermal management [1]. The Viessmann heat pump business benefits from the European energy transition, another physical-world megatrend AI cannot displace. Commercial HVAC aftermarket revenue (recurring maintenance, parts, services) creates sticky customer relationships with high switching costs. AI Opportunity (1/1): Carrier is actively monetizing AI through multiple revenue streams — Lynx FacTOR SaaS for pharmaceutical cold chain, Google Cloud AI-powered home energy management partnership, and AI-optimized supply chain reducing costs across global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Carrier Global FY2025 Results and 2026 Outlook — $21.7B revenue, $22B guidance, data center 400% order growth, ~$2B FCF, February 2026</w:t>
      </w:r>
    </w:p>
    <w:p>
      <w:pPr>
        <w:spacing w:before="20" w:after="20"/>
        <w:ind w:left="170"/>
      </w:pPr>
      <w:r>
        <w:rPr>
          <w:rFonts w:ascii="Calibri" w:hAnsi="Calibri"/>
          <w:b/>
          <w:color w:val="4A6B25"/>
          <w:sz w:val="15"/>
        </w:rPr>
        <w:t xml:space="preserve">2. </w:t>
      </w:r>
      <w:r>
        <w:rPr>
          <w:rFonts w:ascii="Calibri" w:hAnsi="Calibri"/>
          <w:b w:val="0"/>
          <w:color w:val="3A4A28"/>
          <w:sz w:val="17"/>
        </w:rPr>
        <w:t>Carrier AI strategy analysis — Google Cloud partnership, ketteQ supply chain AI, AI Center of Excellence; Glassdoor reviews (3.4/5.0, 1,995 reviews)</w:t>
      </w:r>
    </w:p>
    <w:p>
      <w:pPr>
        <w:spacing w:before="20" w:after="20"/>
        <w:ind w:left="170"/>
      </w:pPr>
      <w:r>
        <w:rPr>
          <w:rFonts w:ascii="Calibri" w:hAnsi="Calibri"/>
          <w:b/>
          <w:color w:val="4A6B25"/>
          <w:sz w:val="15"/>
        </w:rPr>
        <w:t xml:space="preserve">3. </w:t>
      </w:r>
      <w:r>
        <w:rPr>
          <w:rFonts w:ascii="Calibri" w:hAnsi="Calibri"/>
          <w:b w:val="0"/>
          <w:color w:val="3A4A28"/>
          <w:sz w:val="17"/>
        </w:rPr>
        <w:t>Carrier ESG Report — gigaton carbon reduction commitment, $156M employee scholar program, $2B+ sustainability investment; Sustainalytics 'Strong' ESG rating</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CARR (Carrier Global),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