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CAT</w:t>
      </w:r>
      <w:r>
        <w:rPr>
          <w:rFonts w:ascii="Calibri" w:hAnsi="Calibri"/>
          <w:b/>
          <w:color w:val="1A2010"/>
          <w:sz w:val="40"/>
        </w:rPr>
        <w:t xml:space="preserve">  Caterpillar Inc.</w:t>
      </w:r>
    </w:p>
    <w:p>
      <w:pPr>
        <w:spacing w:after="120"/>
      </w:pPr>
      <w:r>
        <w:rPr>
          <w:rFonts w:ascii="Calibri" w:hAnsi="Calibri"/>
          <w:b/>
          <w:color w:val="6E8450"/>
          <w:sz w:val="18"/>
        </w:rPr>
        <w:t>DIVIDEND SLEEVE · 2026-04-01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Farm &amp; Heavy Construction Machinery · NYSE · United States</w:t>
      </w:r>
    </w:p>
    <w:p>
      <w:pPr>
        <w:spacing w:after="80"/>
      </w:pPr>
      <w:r>
        <w:rPr>
          <w:rFonts w:ascii="Calibri" w:hAnsi="Calibri"/>
          <w:b w:val="0"/>
          <w:color w:val="3A4A28"/>
          <w:sz w:val="20"/>
        </w:rPr>
        <w:t>Caterpillar designs, manufactures, and markets construction and mining equipment, off-highway diesel and natural gas engines, industrial gas turbines, and diesel-electric locomotives. The company operates through Construction Industries, Resource Industries, Energy &amp; Transportation, and Financial Products segments, with over 800 autonomous haul trucks and 4 million connected assets globally.</w:t>
      </w:r>
    </w:p>
    <w:p>
      <w:r>
        <w:rPr>
          <w:rFonts w:ascii="Calibri" w:hAnsi="Calibri"/>
          <w:b/>
          <w:color w:val="6E8450"/>
          <w:sz w:val="18"/>
        </w:rPr>
        <w:t>118,000 Employees · https://www.caterpillar.com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Caterpillar achieved record full-year 2025 revenue of $67.6B and has successfully transformed from a pure equipment manufacturer into a digital industrial leader, with autonomous mining, electrification, and connected services now driving differentiated revenue streams [1]. AI Deployment (2/2): Over 800 autonomous haul trucks in the Command fleet have moved 11 billion tonnes of material without a lost-time injury, and 4 million connected assets feed the Cat Product Link telemetry and Helios digital backbone for predictive maintenance and fleet optimization [2]. Market Share (1/2): Caterpillar remains the dominant global brand in construction and mining equipment but faces strong competition from Komatsu, John Deere, and Volvo CE in specific segments. Pipeline (1/2): Electrification strategy includes battery-electric and hydrogen-powered prototypes across multiple product lines, with $150M annual R&amp;D investment in spatial computing and AI, plus a $100M five-year workforce upskilling commitment [2]. R&amp;D Intensity (1/1): R&amp;D spending is above industry average, with dedicated investment in autonomy, electrification, and connectivity exceeding peers in the heavy equipment space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Caterpillar's purpose — 'Our work matters. Our purpose matters. Together, we build what matters' — is clear and connects the company's work to broader infrastructure development, but it is not deeply distinctive or transformative; it could apply to several industrial companies. Community Impact (2/2): The Caterpillar Foundation has invested over $900M in communities since 1952, with active programs in STEM education, disaster relief, and sustainable development. The company's $100M workforce upskilling pledge further demonstrates community investment [2]. Employee Retention (1/2): Average employee tenure is solid for industrials, and the company's culture emphasizes leadership development and internal promotion — CEO Joe Creed is a 30-year veteran — but no standout low-turnover data is publicly available [2]. Insider Buying (1/2): Recent insider transactions show mostly compensation-related grants; one purchase of 2,500 shares ($1.8M) was recorded in March 2026, but the pattern is largely neutral with routine dispositions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Caterpillar's financial profile is strong for a capital-intensive industrial. Full-year 2025 revenue of $67.6B (up 4.3% YoY) with profit margin of 13.1% and ROE of 43.5% demonstrates excellent capital efficiency despite elevated D/E of 206.7% (driven by Financial Products segment leverage) [1]. Forward P/E of 26.4x reflects premium valuation for a cyclical, but the $51B backlog (up 71%) and 7% revenue growth guidance for 2026 support the multiple [1]. Dividend profile is exceptional: 31% payout ratio, 30+ consecutive years of payments, 10 consecutive years of growth, and 8.1% 5-year dividend growth CAGR easily exceeds the 2x inflation target [3]. Liquidity floor cleared: $731.59 x 2.84M avg volume = $2.08B daily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Caterpillar demonstrates many infinite game qualities — a 101-year history of endurance through multiple economic cycles, a smooth CEO transition to insider Joe Creed, and long-term investments in autonomy and electrification that sacrifice near-term margins for future capability. However, the company's competitive language still centers on market leadership and financial targets rather than a transcendent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Caterpillar's purpose of building infrastructure that enables human progress is genuine and has been validated by 101 years of execution through world wars, recessions, and industry upheaval. However, the articulation — 'Together, we build what matters' — is more of a solid mission than a transformative Just Cause in Sinek's sense. It describes what the company does rather than a future state it's advancing toward.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Caterpillar's culture emphasizes leadership development, and the promotion of 30-year veteran Joe Creed to CEO signals a trust-based, promote-from-within environment [2]. The company invests in employee development with its $100M upskilling commitment. However, Caterpillar has historically faced labor tensions (2012 Joliet lockout) and the culture skews toward disciplined execution rather than the psychological safety Sinek describes. Score: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Caterpillar's CTO Karl Weiss articulates a philosophy of 'not technology for technology's sake' — the company benchmarks against Komatsu's autonomous mining capabilities, John Deere's precision agriculture technology, and Volvo CE's electrification progress to improve its own offerings rather than simply attempting to crush competitors [2].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Caterpillar has evolved incrementally from pure equipment manufacturing into digital services, autonomy, and electrification over the past decade. The shift from selling machines to selling outcomes (fleet management, predictive maintenance, autonomous operation) represents meaningful business model evolution, but it has been gradual rather than transformative — the core business of making heavy equipment remains unchanged [2].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Caterpillar invested $150M annually in AI and spatial computing and committed $100M to workforce upskilling during a period when Wall Street rewarded cost-cutting [2]. The company's 2026 guidance absorbs $2.6B in tariff headwinds while maintaining growth investment rather than retreating to protect margins [1]. These represent some courageous long-term bets, though the company has not made the kind of transformative, bet-the-company decisions Sinek highlights.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Caterpillar is a 101-year-old industrial franchise delivering record revenue of $67.6B in 2025 with a $51B backlog (up 71% YoY) that provides exceptional forward visibility [1]. The company is a direct beneficiary of the AI infrastructure buildout — data center construction drives demand for backup power generators and turbines — while its autonomous mining fleet (800+ trucks) and 4 million connected assets create sticky, high-margin service revenue [2]. At 26.4x forward P/E with 7% guided revenue growth for 2026, ROE of 43.5%, and a dividend growing at 8.1% CAGR, Caterpillar offers a rare combination of cyclical upside and income reliability. The 31% payout ratio leaves substantial room for continued dividend growth and share repurchases.</w:t>
      </w:r>
    </w:p>
    <w:p>
      <w:pPr>
        <w:spacing w:after="120"/>
      </w:pPr>
      <w:r>
        <w:rPr>
          <w:rFonts w:ascii="Calibri" w:hAnsi="Calibri"/>
          <w:b w:val="0"/>
          <w:color w:val="3A4A28"/>
          <w:sz w:val="20"/>
        </w:rPr>
        <w:t>The bear case centers on cyclical risk, tariff exposure, and premium valuation. Caterpillar faces $2.6B in incremental tariff costs in 2026 that will compress margins despite pricing actions [1]. Full-year 2025 EPS declined 11.4% despite revenue growth, reflecting input cost pressures and segment margin erosion in Construction and Resource Industries. The trailing P/E of 38.8x prices in significant growth that may not materialize if global construction spending decelerates. D/E of 206.7% — while partially attributable to the Financial Products segment — creates balance sheet risk in a downturn. Revenue growth of 4.3% in 2025 was modest for the premium the stock commands, and the cyclical nature of equipment demand means the $51B backlog could unwind rapidly if infrastructure spending stalls or tariff-driven cost increases suppress customer orders.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construction boom driving record demand for Energy &amp; Transportation backup power generators and turbines, with the segment positioned as a primary beneficiary of the $500B+ global data center buildout [2]</w:t>
      </w:r>
    </w:p>
    <w:p>
      <w:pPr>
        <w:spacing w:before="40" w:after="40"/>
        <w:ind w:left="283"/>
      </w:pPr>
      <w:r>
        <w:rPr>
          <w:rFonts w:ascii="Calibri" w:hAnsi="Calibri"/>
          <w:b/>
          <w:color w:val="4A6B25"/>
          <w:sz w:val="20"/>
        </w:rPr>
        <w:t xml:space="preserve">2. </w:t>
      </w:r>
      <w:r>
        <w:rPr>
          <w:rFonts w:ascii="Calibri" w:hAnsi="Calibri"/>
          <w:b w:val="0"/>
          <w:color w:val="3A4A28"/>
          <w:sz w:val="20"/>
        </w:rPr>
        <w:t>$51B backlog (up 71% YoY) providing 18+ months of revenue visibility and supporting management's 7% revenue growth guidance for 2026 [1]</w:t>
      </w:r>
    </w:p>
    <w:p>
      <w:pPr>
        <w:spacing w:before="40" w:after="40"/>
        <w:ind w:left="283"/>
      </w:pPr>
      <w:r>
        <w:rPr>
          <w:rFonts w:ascii="Calibri" w:hAnsi="Calibri"/>
          <w:b/>
          <w:color w:val="4A6B25"/>
          <w:sz w:val="20"/>
        </w:rPr>
        <w:t xml:space="preserve">3. </w:t>
      </w:r>
      <w:r>
        <w:rPr>
          <w:rFonts w:ascii="Calibri" w:hAnsi="Calibri"/>
          <w:b w:val="0"/>
          <w:color w:val="3A4A28"/>
          <w:sz w:val="20"/>
        </w:rPr>
        <w:t>Autonomous mining fleet expansion beyond 800 trucks and connected asset base of 4 million units driving recurring high-margin service and software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$2.6B in incremental tariff costs in 2026 that could compress adjusted operating profit margins below 2025's ~17% despite management's mitigation strategies and 2% price realization [1]</w:t>
      </w:r>
    </w:p>
    <w:p>
      <w:pPr>
        <w:spacing w:before="40" w:after="40"/>
        <w:ind w:left="283"/>
      </w:pPr>
      <w:r>
        <w:rPr>
          <w:rFonts w:ascii="Calibri" w:hAnsi="Calibri"/>
          <w:b/>
          <w:color w:val="4A6B25"/>
          <w:sz w:val="20"/>
        </w:rPr>
        <w:t xml:space="preserve">2. </w:t>
      </w:r>
      <w:r>
        <w:rPr>
          <w:rFonts w:ascii="Calibri" w:hAnsi="Calibri"/>
          <w:b w:val="0"/>
          <w:color w:val="3A4A28"/>
          <w:sz w:val="20"/>
        </w:rPr>
        <w:t>Cyclical downturn risk — global construction and mining capex are historically volatile, and a slowdown in infrastructure spending could rapidly erode the $51B backlog and premium valuation multiple [1]</w:t>
      </w:r>
    </w:p>
    <w:p>
      <w:pPr>
        <w:spacing w:before="40" w:after="40"/>
        <w:ind w:left="283"/>
      </w:pPr>
      <w:r>
        <w:rPr>
          <w:rFonts w:ascii="Calibri" w:hAnsi="Calibri"/>
          <w:b/>
          <w:color w:val="4A6B25"/>
          <w:sz w:val="20"/>
        </w:rPr>
        <w:t xml:space="preserve">3. </w:t>
      </w:r>
      <w:r>
        <w:rPr>
          <w:rFonts w:ascii="Calibri" w:hAnsi="Calibri"/>
          <w:b w:val="0"/>
          <w:color w:val="3A4A28"/>
          <w:sz w:val="20"/>
        </w:rPr>
        <w:t>Premium valuation at 38.8x trailing P/E leaves limited margin of safety if EPS growth (guided at 15%+ annually) fails to materialize amid cost headwinds and potential demand softening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Caterpillar's core business — manufacturing and selling heavy equipment for construction, mining, and energy — involves physical-world operations that AI cannot substitute. Equipment must be physically built, delivered, and maintained; no AI model replaces a 400-ton mining truck. AI actually increases demand for Caterpillar's products: data center construction is driving record orders for backup power generators and turbines in the Energy &amp; Transportation segment [2]. The $51B backlog reflects infrastructure spending tailwinds that are AI-enabled, not AI-threatened. AI Opportunity (1/1): Caterpillar generates meaningful revenue from AI-adjacent products — autonomous Command fleet (800+ trucks), predictive maintenance services via 4 million connected assets, and Cat MineStar fleet management solutions are sold as premium subscriptions and service contracts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Caterpillar Q4 and Full-Year 2025 Earnings Release — $67.6B record revenue, $51B backlog, 7% 2026 guidance, January 29, 2026</w:t>
      </w:r>
    </w:p>
    <w:p>
      <w:pPr>
        <w:spacing w:before="20" w:after="20"/>
        <w:ind w:left="170"/>
      </w:pPr>
      <w:r>
        <w:rPr>
          <w:rFonts w:ascii="Calibri" w:hAnsi="Calibri"/>
          <w:b/>
          <w:color w:val="4A6B25"/>
          <w:sz w:val="15"/>
        </w:rPr>
        <w:t xml:space="preserve">2. </w:t>
      </w:r>
      <w:r>
        <w:rPr>
          <w:rFonts w:ascii="Calibri" w:hAnsi="Calibri"/>
          <w:b w:val="0"/>
          <w:color w:val="3A4A28"/>
          <w:sz w:val="17"/>
        </w:rPr>
        <w:t>CXOTalk, Klover.ai, AInvest — Caterpillar AI strategy analysis: 800+ autonomous trucks, 4M connected assets, $150M annual AI R&amp;D,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CAT (Caterpillar), retrieved April 1, 2026</w:t>
      </w:r>
    </w:p>
    <w:p>
      <w:pPr>
        <w:spacing w:before="20" w:after="20"/>
        <w:ind w:left="170"/>
      </w:pPr>
      <w:r>
        <w:rPr>
          <w:rFonts w:ascii="Calibri" w:hAnsi="Calibri"/>
          <w:b/>
          <w:color w:val="4A6B25"/>
          <w:sz w:val="15"/>
        </w:rPr>
        <w:t xml:space="preserve">4. </w:t>
      </w:r>
      <w:r>
        <w:rPr>
          <w:rFonts w:ascii="Calibri" w:hAnsi="Calibri"/>
          <w:b w:val="0"/>
          <w:color w:val="3A4A28"/>
          <w:sz w:val="17"/>
        </w:rPr>
        <w:t>Caterpillar Sustainability Report and MSCI ESG analysis, 2022-2025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