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CAVA</w:t>
      </w:r>
      <w:r>
        <w:rPr>
          <w:rFonts w:ascii="Calibri" w:hAnsi="Calibri"/>
          <w:b/>
          <w:color w:val="1A2010"/>
          <w:sz w:val="40"/>
        </w:rPr>
        <w:t xml:space="preserve">  CAVA Group, Inc.</w:t>
      </w:r>
    </w:p>
    <w:p>
      <w:pPr>
        <w:spacing w:after="120"/>
      </w:pPr>
      <w:r>
        <w:rPr>
          <w:rFonts w:ascii="Calibri" w:hAnsi="Calibri"/>
          <w:b/>
          <w:color w:val="6E8450"/>
          <w:sz w:val="18"/>
        </w:rPr>
        <w:t>GROWTH SLEEVE · 2026-04-07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CAVA Group, Inc. owns and operates a chain of fast-casual Mediterranean restaurants under the CAVA brand in the United States. The company also sells dips, spreads, and dressings through grocery stores and offers walk-the-line, online, and mobile ordering platforms. Founded in 2006 and headquartered in Washington, D.C.</w:t>
      </w:r>
    </w:p>
    <w:p>
      <w:r>
        <w:rPr>
          <w:rFonts w:ascii="Calibri" w:hAnsi="Calibri"/>
          <w:b/>
          <w:color w:val="6E8450"/>
          <w:sz w:val="18"/>
        </w:rPr>
        <w:t>13,480 Employees · https://cava.com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CAVA successfully IPO'd in June 2023 and has since grown from 263 to 367+ restaurants, crossing the $1 billion annual revenue milestone in FY2025 — a significant scale milestone achieved while maintaining strong unit economics [1]. The Zoe's Kitchen acquisition and conversion strategy demonstrated successful brand transformation. AI Deployment (1/2): CAVA has piloted AI-powered camera vision for food prep monitoring, AI-fueled labor deployment models, and Connected Kitchen predictive prep/scheduling technology. CEO Schulman states 'AI and data transformation will have a similar impact as the first digital transformation,' but revenue impact is not yet quantified [2]. Market Share (2/2): CAVA is the clear leader in fast-casual Mediterranean dining, the fastest-growing restaurant category in the U.S., with no direct competitor at comparable scale. The company is defining a category rather than competing in one [1][2]. Pipeline (1/2): 74-76 new restaurant openings planned for 2026 (16%+ unit growth), salmon menu addition, and grocery channel expansion provide specific near-term growth vectors [1]. R&amp;D Intensity (1/1): Significant investment in Connected Kitchen, AI labor forecasting, and digital ordering platforms relative to restaurant industry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CAVA's mission centers on bringing Mediterranean-inspired healthy eating to everyone, with a culture philosophy that 'a happy team equals a happy guest equals a happy P&amp;L' [2]. Co-founder CEO Brett Schulman has led the company since inception with a distinctive people-first approach. The mission is specific, thoughtful, and differentiates from fast-casual peers. Community Impact (2/2): CAVA's Shoulder-to-Shoulder program requires support center staff to work restaurant shifts quarterly, while top-performing restaurant team members visit D.C. headquarters, creating reciprocal understanding [3]. The company pays wages in the 75th-95th percentile of each market and eliminates digital tip prompts, putting employee economics first [2]. Employee Retention (2/2): Schulman explicitly hires for high EQ and invests in field leadership development. The 75th-95th percentile wage strategy and no-tip-prompts policy demonstrate above-average employee investment that directly addresses restaurant industry turnover [2]. Insider Buying (1/2): Schulman has significant equity exposure as co-founder and CEO, maintaining substantial ownership alignment since the 2023 IPO.</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CAVA's infrastructure reflects a high-growth restaurant company with outstanding revenue metrics but extreme valuation. D/E of 59.8% is below the 70% target, reflecting a conservative balance sheet [4]. ROE of 8.6% is below the 15% target as the company reinvests heavily in unit growth [4]. Revenue grew 22.4% YoY to $1.18B with a 3-year CAGR of 27.9%, both well above the 10% targets [1][4]. However, Forward P/E of 114.6x is above the 60x floor, scoring 0 on this metric [4]. Profit margin of 5.4% is thin for the 20% target, typical of a scaling restaurant business [4]. Estimated PEG of 3.5 (114.6x / 32.8% EPS growth) is above the 3.0 floor, also scoring 0 [4]. Liquidity easily cleared: 3.56M avg volume x $82.13 = $293M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CAVA under co-founder Brett Schulman demonstrates genuine infinite game characteristics — a people-first culture, long-term category creation rather than market share competition, and willingness to invest in employee economics over short-term margins. However, the company is still early in proving its endurance through economic cycles and competitive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CAVA's cause — bringing Mediterranean-inspired healthy eating to everyone while proving that happy teams create happy guests — is genuine, specific, and differentiating [2]. Schulman's 16-year commitment as co-founder CEO validates the cause through consistent execution. The 75th-95th percentile wage strategy and no-tip-prompts policy show the cause shapes real decisions. However, the cause hasn't been tested through major adversity or multi-decade industry disruption yet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CAVA's Shoulder-to-Shoulder program, 75th-95th percentile wages, and Schulman's explicit hiring for high EQ demonstrate investment in psychological safety and team trust [2][3]. The no-digital-tip-prompt policy removes a friction point that damages employee-customer dynamics at most fast-casual peers. However, as a 13,480-person company scaling rapidly, maintaining trust culture at scale is unproven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CAVA positions itself as a category creator in fast-casual Mediterranean rather than explicitly acknowledging worthy rivals. Schulman frames competition as 'remaining best in breed' rather than learning from specific competitors' strengths [2]. The company may benefit from adopting a more humble competitive posture as Chipotle and Sweetgreen increasingly compete for the same health-conscious consumer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CAVA demonstrated meaningful flexibility in acquiring and converting Zoe's Kitchen locations into CAVA restaurants, effectively transforming a struggling brand into growth fuel. The expansion from a Washington D.C. restaurant concept to a national brand with grocery channel distribution shows strategic evolution [1]. However, the core business model — fast-casual Mediterranean — has not been fundamentally reinvented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Schulman's decision to pay 75th-95th percentile wages and eliminate digital tip prompts sacrifices short-term margin for long-term team quality — a courageous stance in the margin-pressured restaurant industry [2]. The company invested in AI and Connected Kitchen technology before these had proven ROI. However, CAVA has not yet faced the test of maintaining these commitments during a downturn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CAVA is the category-defining leader in fast-casual Mediterranean dining, having crossed $1 billion in annual revenue for the first time in FY2025 with 22.4% YoY growth and same-restaurant sales up even in a challenging consumer environment [1]. The company plans 74-76 new restaurant openings in 2026 (16%+ unit growth) with restaurant-level margins of 23.7-24.2% and adjusted EBITDA guidance of $176-184M [1]. CEO Schulman's people-first culture (75th-95th percentile wages, no tip prompts), Shoulder-to-Shoulder program, and AI-powered Connected Kitchen initiative create sustainable competitive advantages in unit economics and team retention [2][3]. With D/E of just 59.8% and no dividends, cash flow is fully reinvested into growth [4].</w:t>
      </w:r>
    </w:p>
    <w:p>
      <w:pPr>
        <w:spacing w:after="120"/>
      </w:pPr>
      <w:r>
        <w:rPr>
          <w:rFonts w:ascii="Calibri" w:hAnsi="Calibri"/>
          <w:b w:val="0"/>
          <w:color w:val="3A4A28"/>
          <w:sz w:val="20"/>
        </w:rPr>
        <w:t>The bear case is centered on extreme valuation and execution risk. At 114.6x forward earnings and 152x trailing P/E, CAVA is priced for flawless execution across 74-76 new openings annually for many years [4]. Q4 2025 net income fell to $4.9M (4 cents/share) from $78.6M (66 cents) a year earlier, a 94% decline that missed expectations [1]. Profit margin of 5.4% and ROE of 8.6% are thin, meaning any comp slowdown or margin compression would crater the stock. The stock declined 19% from its 52-week high of $101.50 and trades at a PEG of 3.5, well above the 1.0 target [4]. Same-store sales guidance of 3-5% for 2026 is a significant deceleration from 2024 levels. Restaurant industry labor costs are rising, and CAVA's premium wage strategy amplifies this pressure. Geographic expansion beyond the East Coast into new markets carries execution risk as brand awareness and supply chain economics are untested nationally.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74-76 new restaurant openings in 2026 (16%+ unit growth) with whitespace opportunity to scale from 367 to 1,000+ units nationally [1]</w:t>
      </w:r>
    </w:p>
    <w:p>
      <w:pPr>
        <w:spacing w:before="40" w:after="40"/>
        <w:ind w:left="283"/>
      </w:pPr>
      <w:r>
        <w:rPr>
          <w:rFonts w:ascii="Calibri" w:hAnsi="Calibri"/>
          <w:b/>
          <w:color w:val="4A6B25"/>
          <w:sz w:val="20"/>
        </w:rPr>
        <w:t xml:space="preserve">2. </w:t>
      </w:r>
      <w:r>
        <w:rPr>
          <w:rFonts w:ascii="Calibri" w:hAnsi="Calibri"/>
          <w:b w:val="0"/>
          <w:color w:val="3A4A28"/>
          <w:sz w:val="20"/>
        </w:rPr>
        <w:t>Connected Kitchen AI initiative and labor forecasting models improving prep efficiency and scheduling, potentially expanding restaurant-level margins above the 23.7-24.2% guidance [2]</w:t>
      </w:r>
    </w:p>
    <w:p>
      <w:pPr>
        <w:spacing w:before="40" w:after="40"/>
        <w:ind w:left="283"/>
      </w:pPr>
      <w:r>
        <w:rPr>
          <w:rFonts w:ascii="Calibri" w:hAnsi="Calibri"/>
          <w:b/>
          <w:color w:val="4A6B25"/>
          <w:sz w:val="20"/>
        </w:rPr>
        <w:t xml:space="preserve">3. </w:t>
      </w:r>
      <w:r>
        <w:rPr>
          <w:rFonts w:ascii="Calibri" w:hAnsi="Calibri"/>
          <w:b w:val="0"/>
          <w:color w:val="3A4A28"/>
          <w:sz w:val="20"/>
        </w:rPr>
        <w:t>Menu innovation including salmon addition and grocery channel expansion diversifying revenue streams beyond dine-in and online ordering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114.6x forward P/E and PEG of 3.5 — any miss on same-store sales (guided 3-5%) or unit growth targets would trigger severe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Q4 2025 net income collapse from $78.6M to $4.9M signals margin pressure from field leadership investments and salmon introduction costs that may persist [1]</w:t>
      </w:r>
    </w:p>
    <w:p>
      <w:pPr>
        <w:spacing w:before="40" w:after="40"/>
        <w:ind w:left="283"/>
      </w:pPr>
      <w:r>
        <w:rPr>
          <w:rFonts w:ascii="Calibri" w:hAnsi="Calibri"/>
          <w:b/>
          <w:color w:val="4A6B25"/>
          <w:sz w:val="20"/>
        </w:rPr>
        <w:t xml:space="preserve">3. </w:t>
      </w:r>
      <w:r>
        <w:rPr>
          <w:rFonts w:ascii="Calibri" w:hAnsi="Calibri"/>
          <w:b w:val="0"/>
          <w:color w:val="3A4A28"/>
          <w:sz w:val="20"/>
        </w:rPr>
        <w:t>Geographic expansion risk as CAVA moves from East Coast stronghold to national footprint, facing brand awareness challenges and competition from Chipotle and Sweetgreen in new markets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Restaurant operations are fundamentally physical-world businesses — customers visit physical locations to eat freshly prepared food. AI cannot replace the dining experience, food preparation, or the human hospitality that defines CAVA's brand [2]. Fast-casual Mediterranean is a growing category driven by health trends and consumer preferences that AI doesn't threaten. AI may pressure food delivery aggregators and back-office operations but cannot displace the core walk-the-line experience. AI Opportunity (1/1): CAVA is actively generating operational value from AI through camera vision food prep monitoring, AI-fueled labor deployment models, and Connected Kitchen predictive scheduling. CEO Schulman describes AI as having 'similar impact as the first digital transformation' for restaurant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CAVA Group Q4 and FY2025 Earnings Release — $1.18B annual revenue (22.4% growth), Q4 $275M revenue, 2026 guidance: 3-5% SSS, 74-76 new openings, $176-184M adj.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CNBC, Yahoo Finance, McKinsey — CEO Brett Schulman on AI innovation, Connected Kitchen, people-first culture, 75th-95th percentile wages, no-tip-prompt policy, leadership philosophy</w:t>
      </w:r>
    </w:p>
    <w:p>
      <w:pPr>
        <w:spacing w:before="20" w:after="20"/>
        <w:ind w:left="170"/>
      </w:pPr>
      <w:r>
        <w:rPr>
          <w:rFonts w:ascii="Calibri" w:hAnsi="Calibri"/>
          <w:b/>
          <w:color w:val="4A6B25"/>
          <w:sz w:val="15"/>
        </w:rPr>
        <w:t xml:space="preserve">3. </w:t>
      </w:r>
      <w:r>
        <w:rPr>
          <w:rFonts w:ascii="Calibri" w:hAnsi="Calibri"/>
          <w:b w:val="0"/>
          <w:color w:val="3A4A28"/>
          <w:sz w:val="17"/>
        </w:rPr>
        <w:t>Restaurant Business Online — CAVA first Impact Report, Shoulder-to-Shoulder program, sustainability initiatives, ESG commitments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CAVA (CAVA Group),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