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CBRE</w:t>
      </w:r>
      <w:r>
        <w:rPr>
          <w:rFonts w:ascii="Calibri" w:hAnsi="Calibri"/>
          <w:b/>
          <w:color w:val="1A2010"/>
          <w:sz w:val="40"/>
        </w:rPr>
        <w:t xml:space="preserve">  CBRE Group, Inc.</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CBRE Group is the world's largest commercial real estate services and investment firm, offering advisory services, global workplace solutions, and real estate investments. The company provides property sales, leasing, facilities management, project management, property management, and investment management across more than 100 countries.</w:t>
      </w:r>
    </w:p>
    <w:p>
      <w:r>
        <w:rPr>
          <w:rFonts w:ascii="Calibri" w:hAnsi="Calibri"/>
          <w:b/>
          <w:color w:val="6E8450"/>
          <w:sz w:val="18"/>
        </w:rPr>
        <w:t>130,000 Employees · https://www.cbre.com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CBRE has successfully expanded from traditional brokerage into a diversified platform with Advisory Services, Global Workplace Solutions (facilities management), and Real Estate Investments. Revenue grew from $30.8B in 2022 to $40.6B in 2025, driven by the GWS segment which provides recurring, contractual revenue [1]. AI Deployment (2/2): CBRE appointed McKinsey &amp; Company senior partner Anuj Kadyan as Chief Technology &amp; Transformation Officer in 2026, signaling aggressive AI adoption [2]. The company leverages 39 billion data points from 300 sources to power analytics and AI across the real estate lifecycle — from asset identification to investment decisions and property management [2]. Market Share (2/2): CBRE is the undisputed #1 commercial real estate services firm globally, significantly larger than JLL and Cushman &amp; Wakefield combined in several segments. The company operates in 100+ countries with dominant market share in leasing, property sales, and facilities management [1]. Pipeline (1/2): Q1 2026 showed 7% revenue growth across all segments with continued recovery in capital markets. The company guides to $7.30-$7.60 Core EPS for 2026, reflecting 17% growth [1]. R&amp;D Intensity (0/1): As a services firm, CBRE does not report traditional R&amp;D spending, though technology investment through GWS and the new CTO role represents meaningful innovation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CBRE's mission focuses on creating value for clients and stakeholders through real estate expertise and technology — clear and professional but not distinctive or deeply purposeful beyond industry expectations. Community Impact (2/2): CBRE achieved a 31% reduction in Scope 1 and 2 absolute emissions by 2024 versus 2019 baseline, targeting 50% by 2030 and net zero by 2040 [3]. ESG scores of 99/100 environmental, 95 social, and 85 governance from Sustainalytics demonstrate industry-leading sustainability commitment [3]. The company publishes comprehensive annual Corporate Responsibility Reports. Employee Retention (1/2): CBRE has a 3.9/5 Glassdoor rating across 15,346 reviews with 76% recommending the company and 68% positive outlook [2]. CEO Bob Sulentic has led since 2012 (14-year tenure), providing leadership stability. Insider Buying (1/2): Significant net insider buying with 303,096 net shares purchased in the last 6 months across 20 transactions (313,906 purchased vs. 10,810 sold), representing 25.8% net share accumulation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CBRE's financial profile scores exceptionally well on growth and valuation metrics. Forward P/E of 17.0x is attractive for a company guiding to 17% Core EPS growth, yielding a Forward PEG near 1.0 [1][4]. Revenue of $40.6B in 2025 (up 13% YoY) with a 3-year CAGR of 9.6% demonstrates consistent top-line growth [1]. ROE of 13.6% is slightly below the 15% target but reflects a large, asset-light services business. D/E of 106.2% is manageable for a firm with $1.7B in free cash flow [1]. The primary weakness is the low net profit margin of 2.9%, typical for a services/facilities management business with pass-through revenue but well below the 20% target [4]. Q4 2025 adjusted EBITDA margin of 11.1% better represents true profitability [1]. Liquidity floor easily cleared: 2.3M avg volume x $147.48 = $346.1M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CBRE under Bob Sulentic demonstrates meaningful infinite game characteristics — 14 years of consistent leadership through three market cycles, aggressive technology investment, and ESG leadership. The company plays to endure as the dominant global CRE platform rather than to win any single quarter, though the services industry's quarterly transaction focus creates tension with pure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CBRE's purpose — to be the world's leading and most trusted real estate platform — is genuine and partially lived, validated by 14 years of consistent execution under Sulentic and strategic decisions to invest in technology and sustainability even when not demanded by clients [1][3]. The purpose has shaped strategic decisions including the GWS buildout and AI investment, but it's a business aspiration more than a transformative cause. Earns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CBRE's 3.9/5 Glassdoor rating across 15,346 reviews with 76% recommending the company suggests adequate organizational health [2]. CEO Sulentic's 14-year tenure and the internal CTO appointment signal leadership continuity. However, the 68% positive outlook (down from prior periods) and the nature of large services firms with high agent turnover limit this to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CBRE acknowledges JLL and Cushman &amp; Wakefield as worthy competitors whose strengths drive improvement. The company invested in AI and technology partially in response to JLL's digital platform advances. Management frames competition as motivation to invest in capabilities rather than a war to win [2]. Earns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CBRE evolved from a traditional brokerage into an integrated services platform with GWS, investment management, and data-driven advisory. The 2026 CTO hire from McKinsey signals willingness to transform through AI. These are meaningful but incremental evolutions — the company has not yet faced a true existential pivot [2]. Earns 1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Bob Sulentic has made multiple courageous long-term bets: investing heavily in the GWS platform that now generates contractual, recurring revenue; committing to net zero by 2040 with verifiable interim targets (31% emissions reduction by 2024); and hiring a McKinsey AI partner as CTO to drive digital transformation during a period of market uncertainty [2][3]. The company invested in technology and sustainability through real estate downturns. Earns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CBRE is the world's largest commercial real estate services firm generating $40.6B in revenue (up 13% YoY in 2025) with a clear path to 17% Core EPS growth in 2026 ($7.30-$7.60 guidance) [1]. The diversified platform — Advisory Services, Global Workplace Solutions, and Real Estate Investments — provides resilience through market cycles with GWS delivering contractual recurring revenue. At 17.0x forward P/E with a Forward PEG near 1.0, CBRE is attractively valued for the growth trajectory [4]. Q1 2026 showed 7% revenue growth across all segments, validating the commercial real estate recovery [1]. The aggressive AI strategy — hiring a McKinsey AI senior partner as CTO and leveraging 39 billion proprietary data points — positions CBRE to widen its competitive moat as technology reshapes real estate services [2]. Significant insider buying (303,096 net shares in 6 months) signals management conviction [4].</w:t>
      </w:r>
    </w:p>
    <w:p>
      <w:pPr>
        <w:spacing w:after="120"/>
      </w:pPr>
      <w:r>
        <w:rPr>
          <w:rFonts w:ascii="Calibri" w:hAnsi="Calibri"/>
          <w:b w:val="0"/>
          <w:color w:val="3A4A28"/>
          <w:sz w:val="20"/>
        </w:rPr>
        <w:t>The bear case focuses on cyclical exposure and thin margins. CBRE's 2.9% net profit margin reflects the pass-through revenue nature of facilities management and creates minimal buffer during downturns [4]. The trailing P/E of 38.3x (versus 17.0x forward) highlights the degree to which the market is pricing in an earnings snapback from the 2025 earnings dip (-12.1% EPS growth YoY). D/E of 106% and $7.4B market sensitivity to interest rates create vulnerability if commercial real estate transaction volumes decline [4]. The Advisory segment faces genuine AI disruption risk — automated lease abstraction, valuation, and market research could compress margins even as CBRE adopts AI internally [2]. A commercial real estate downturn driven by higher-for-longer interest rates or declining office demand from remote work trends could stall the recovery narrative. The company pays no dividend, limiting downside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Core EPS guidance of $7.30-$7.60 reflecting 17% growth, supported by commercial real estate transaction recovery and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AI transformation strategy under new CTO Anuj Kadyan leveraging 39 billion proprietary data points to create differentiated technology-driven services [2]</w:t>
      </w:r>
    </w:p>
    <w:p>
      <w:pPr>
        <w:spacing w:before="40" w:after="40"/>
        <w:ind w:left="283"/>
      </w:pPr>
      <w:r>
        <w:rPr>
          <w:rFonts w:ascii="Calibri" w:hAnsi="Calibri"/>
          <w:b/>
          <w:color w:val="4A6B25"/>
          <w:sz w:val="20"/>
        </w:rPr>
        <w:t xml:space="preserve">3. </w:t>
      </w:r>
      <w:r>
        <w:rPr>
          <w:rFonts w:ascii="Calibri" w:hAnsi="Calibri"/>
          <w:b w:val="0"/>
          <w:color w:val="3A4A28"/>
          <w:sz w:val="20"/>
        </w:rPr>
        <w:t>Global Workplace Solutions segment expansion providing contractual recurring revenue that reduces cyclical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Advisory segment — automated lease abstraction, valuation, and market research could compress high-margin advisory fees [2]</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cyclical risk — higher-for-longer interest rates or declining office demand from remote work could stall the transaction recovery [1]</w:t>
      </w:r>
    </w:p>
    <w:p>
      <w:pPr>
        <w:spacing w:before="40" w:after="40"/>
        <w:ind w:left="283"/>
      </w:pPr>
      <w:r>
        <w:rPr>
          <w:rFonts w:ascii="Calibri" w:hAnsi="Calibri"/>
          <w:b/>
          <w:color w:val="4A6B25"/>
          <w:sz w:val="20"/>
        </w:rPr>
        <w:t xml:space="preserve">3. </w:t>
      </w:r>
      <w:r>
        <w:rPr>
          <w:rFonts w:ascii="Calibri" w:hAnsi="Calibri"/>
          <w:b w:val="0"/>
          <w:color w:val="3A4A28"/>
          <w:sz w:val="20"/>
        </w:rPr>
        <w:t>Thin 2.9% net profit margin provides minimal buffer during downturns, and trailing P/E of 38.3x prices in significant earnings recovery that may not fully materialize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CBRE's core Advisory segment (leasing, property sales) faces real AI disruption risk — the February 2026 'Scare Trade' highlighted concerns that AI could automate lease abstraction, valuation, and market research, potentially compressing advisory margins [2]. However, CEO Bob Sulentic stated that most CBRE businesses are insulated from AI displacement, noting the physical-world nature of facilities management, property inspections, and relationship-driven brokerage [2]. The Global Workplace Solutions segment (facilities management for 130,000+ employees) involves hands-on physical services that AI cannot replace. The Real Estate Investments segment requires human judgment and relationship capital. CBRE's 39 billion data points create a proprietary data moat that reinforces rather than threatens the business [2]. AI Opportunity (1/1): CBRE actively generates revenue from AI-powered services — the appointment of a McKinsey AI veteran as CTO signals significant AI monetization ambitions, and the company already uses AI across asset identification, investment decisions, and property management powered by proprietary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Group Q4 2025 and Full-Year 2025 Earnings Release — $40.6B revenue, $1.7B FCF, 2026 Core EPS guidance $7.30-$7.60, February 2026</w:t>
      </w:r>
    </w:p>
    <w:p>
      <w:pPr>
        <w:spacing w:before="20" w:after="20"/>
        <w:ind w:left="170"/>
      </w:pPr>
      <w:r>
        <w:rPr>
          <w:rFonts w:ascii="Calibri" w:hAnsi="Calibri"/>
          <w:b/>
          <w:color w:val="4A6B25"/>
          <w:sz w:val="15"/>
        </w:rPr>
        <w:t xml:space="preserve">2. </w:t>
      </w:r>
      <w:r>
        <w:rPr>
          <w:rFonts w:ascii="Calibri" w:hAnsi="Calibri"/>
          <w:b w:val="0"/>
          <w:color w:val="3A4A28"/>
          <w:sz w:val="17"/>
        </w:rPr>
        <w:t>CBRE AI strategy and leadership — McKinsey CTO hire Anuj Kadyan, 39B data points, Bob Sulentic AI commentary, Glassdoor 3.9/5,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CBRE 2024 Corporate Responsibility Report — 31% emissions reduction, net zero 2040 target, Sustainalytics ESG scores 99/95/85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CBRE (CBRE Group),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