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CBRL</w:t>
      </w:r>
      <w:r>
        <w:rPr>
          <w:rFonts w:ascii="Calibri" w:hAnsi="Calibri"/>
          <w:b/>
          <w:color w:val="1A2010"/>
          <w:sz w:val="40"/>
        </w:rPr>
        <w:t xml:space="preserve">  Cracker Barrel Old Country Store, Inc.</w:t>
      </w:r>
    </w:p>
    <w:p>
      <w:pPr>
        <w:spacing w:after="120"/>
      </w:pPr>
      <w:r>
        <w:rPr>
          <w:rFonts w:ascii="Calibri" w:hAnsi="Calibri"/>
          <w:b/>
          <w:color w:val="6E8450"/>
          <w:sz w:val="18"/>
        </w:rPr>
        <w:t>DIVIDEND SLEEVE · 2026-04-26 · Inspire: 32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Restaurants · NASDAQ · United States</w:t>
      </w:r>
    </w:p>
    <w:p>
      <w:pPr>
        <w:spacing w:after="80"/>
      </w:pPr>
      <w:r>
        <w:rPr>
          <w:rFonts w:ascii="Calibri" w:hAnsi="Calibri"/>
          <w:b w:val="0"/>
          <w:color w:val="3A4A28"/>
          <w:sz w:val="20"/>
        </w:rPr>
        <w:t>Cracker Barrel Old Country Store operates a chain of 660+ restaurant and gift shop combination stores across 44 states, serving breakfast, lunch, and dinner with a Southern home-style concept. The company generates approximately 80% of revenue from restaurant operations and 20% from retail gift shop sales.</w:t>
      </w:r>
    </w:p>
    <w:p>
      <w:r>
        <w:rPr>
          <w:rFonts w:ascii="Calibri" w:hAnsi="Calibri"/>
          <w:b/>
          <w:color w:val="6E8450"/>
          <w:sz w:val="18"/>
        </w:rPr>
        <w:t>76,730 Employees · https://www.crackerbarrel.com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Cracker Barrel has struggled with traffic declines — Q2 FY2026 comparable restaurant sales fell 7.1% and retail sales fell 9.2%, with traffic down 10.1% and November/December seeing 10-11% traffic declines [1]. The logo rebrand in August 2025 was universally panned and generated AI-bot-amplified backlash, an execution misstep [2]. Revenue is guided to $3.24B-$3.27B for FY2026, down from $3.48B in FY2025. AI Deployment (1/2): Cracker Barrel has deployed AI across multiple functions — machine learning models for labor forecasting reduced staffing costs by 13% in pilot locations, AI-driven personalization delivers mid-single-digit revenue lift per loyalty member, and the company estimates $100M in food waste reduction opportunity from AI optimization [2]. Market Share (1/2): Cracker Barrel is a distinctive brand with 660+ locations and no direct competitor in the Southern home-style restaurant-and-retail format, but it is losing share in the broader casual dining category as traffic declines persist [1]. Pipeline (1/2): CEO Julie Masino's transformation plan includes menu innovation, loyalty program enhancements, and AI-driven operational improvements, though the turnaround timeline remains uncertain with traffic still declining meaningfully [1][2]. R&amp;D Intensity (0/1): Restaurant industry R&amp;D spending is minimal; Cracker Barrel invests in technology upgrades but not at an above-average intensity for the sector.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Cracker Barrel's identity revolves around 'pleasing people' through home-style food, hospitality, and the nostalgia of its country store concept — a clear and warm purpose but not distinctive or inspiring beyond the restaurant industry [3]. Community Impact (1/2): Cracker Barrel employs 76,730 people across 44 states, primarily in rural and suburban communities where it serves as a significant local employer. The company publishes ESG reports and was among the first restaurant chains to align with SASB sustainability standards [3]. Employee Retention (1/2): Glassdoor rating of 3.3/5.0 with 8,358 reviews reflects a below-average workplace. Common criticisms include poor management, favoritism, and rudeness, though the large employee base and restaurant industry context should temper expectations [2]. Insider Buying (0/2): No evidence of meaningful insider buying. CEO Julie Masino joined in July 2023 from Taco Bell and has not been reported as a significant net buyer of CBRL shares.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Cracker Barrel's financial profile shows a struggling casual dining chain. Revenue is declining — Q2 FY2026 was down 7.9% YoY with comparable restaurant sales down 7.1% and retail sales down 9.2% [1]. Profit margin of -0.12% and ROE of -0.9% reflect near-breakeven profitability, with FY2025 net income of $46.4M down from $131.9M in 2022 [4]. D/E of 283.3% signals heavy leverage with $1.21B in debt against only $8.6M cash, creating significant balance sheet risk [4]. Forward P/E of 55.1x is extremely elevated for a declining casual dining chain. The dividend was cut dramatically to $1.00/year ($0.25/quarter), but the payout ratio of 135% remains unsustainable given near-zero earnings. FY2026 adjusted EBITDA guidance of $85M-$100M represents significant compression. Liquidity floor cleared: 1.16M avg volume × $29.36 = $34.1M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Cracker Barrel has a genuine heritage-based identity that has endured for 55+ years, but the company is struggling with a turnaround that suggests finite-game thinking — optimizing the existing business model rather than reimagining it for the future. The dramatic dividend cut, logo debacle, and persistent traffic declines suggest a company that may be fighting to survive rather than playing to keep playing.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Cracker Barrel's cause — preserving Southern hospitality and home-style dining in a world that increasingly values convenience and speed — is genuine and has endured since 1969, connecting 660+ stores to a shared cultural identity [3]. However, the cause has not been tested by transformation; the company still operates essentially the same concept as 55 years ago, and the failed logo rebrand suggests the cause may be more nostalgia than forward-looking vision (1 pt).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rating of 3.3/5.0 with consistent complaints about poor management, favoritism, dishonesty, and rudeness among managers signals low organizational trust [2]. The 76,730-employee workforce experiences the turnover and management challenges common in casual dining but exacerbated by the turnaround uncertainty. CEO Julie Masino joined externally in 2023, indicating the need for cultural change that has not yet taken hold (0 pts).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Masino's arrival from Taco Bell and the adoption of AI-driven operational practices (labor forecasting, personalization) developed by technology-forward restaurant competitors demonstrates willingness to learn from rivals' operational advantages [2]. The company is importing best practices from fast-casual and QSR competitors to improve its own operations (1 pt).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Cracker Barrel has operated essentially the same restaurant-and-gift-shop concept since 1969 with minimal strategic evolution. The company has not successfully pivoted, diversified, or reinvented its business model despite persistent traffic declines and secular challenges in casual dining [1]. The logo rebrand attempt in 2025 was the closest thing to strategic reinvention and was universally rejected, suggesting rigidity in both the company and its customer base (0 pts).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Cutting the dividend from previous levels to $1.00/year, while painful for shareholders, shows willingness to prioritize business investment over near-term income [4]. CEO Masino's transformation plan — investing in AI technology, menu innovation, and loyalty while the business is declining — requires conviction that the turnaround will work. However, the logo debacle suggests some leadership decisions lack strategic judgment (1 pt).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Cracker Barrel's bull case rests on turnaround potential under CEO Julie Masino and meaningful AI-driven operational improvements. The company's AI initiatives have delivered quantifiable results — 13% staffing cost reduction in pilot locations and mid-single-digit revenue lift from AI-powered loyalty personalization, with $100M in food waste reduction opportunity [2]. The stock trades at $29.36 with a 3.4% dividend yield, and the brand retains strong awareness with 660+ locations across 44 states serving a distinctive niche in Southern hospitality dining. Operating trends show gradual improvement — February 2026 traffic was better than the 10-11% declines of November/December [1]. At $656M market cap, CBRL trades at only 0.2x revenue, pricing in significant pessimism.</w:t>
      </w:r>
    </w:p>
    <w:p>
      <w:pPr>
        <w:spacing w:after="120"/>
      </w:pPr>
      <w:r>
        <w:rPr>
          <w:rFonts w:ascii="Calibri" w:hAnsi="Calibri"/>
          <w:b w:val="0"/>
          <w:color w:val="3A4A28"/>
          <w:sz w:val="20"/>
        </w:rPr>
        <w:t>The bear case is compelling. Comparable restaurant sales declined 7.1% and retail sales fell 9.2% in Q2 FY2026, with traffic down 10.1% [1]. Revenue is guided to $3.24B-$3.27B (down ~6% YoY) with adjusted EBITDA of only $85M-$100M [1]. Profit margin has collapsed to -0.12% from 3.8% in 2022, and net income fell from $131.9M (2022) to near breakeven [4]. D/E of 283.3% with $1.21B in debt and only $8.6M in cash creates existential balance sheet risk if the turnaround stalls. The dividend at $1.00/year still has a 135% payout ratio — another cut is possible. The failed logo rebrand and AI-bot-amplified backlash exposed brand vulnerability [2]. Casual dining faces secular headwinds from fast-casual competition, delivery platforms, and changing consumer preferences. The $100M food waste opportunity and staffing savings need to be weighed against $240M+ in annualized revenue decline. Forward P/E of 55x for a declining restaurant chain is deeply unattractive.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AI-driven operational improvements scaling from pilot to system-wide — 13% staffing cost reduction and mid-single-digit loyalty revenue lift could meaningfully improve margins if successfully deployed across 660+ locations [2]</w:t>
      </w:r>
    </w:p>
    <w:p>
      <w:pPr>
        <w:spacing w:before="40" w:after="40"/>
        <w:ind w:left="283"/>
      </w:pPr>
      <w:r>
        <w:rPr>
          <w:rFonts w:ascii="Calibri" w:hAnsi="Calibri"/>
          <w:b/>
          <w:color w:val="4A6B25"/>
          <w:sz w:val="20"/>
        </w:rPr>
        <w:t xml:space="preserve">2. </w:t>
      </w:r>
      <w:r>
        <w:rPr>
          <w:rFonts w:ascii="Calibri" w:hAnsi="Calibri"/>
          <w:b w:val="0"/>
          <w:color w:val="3A4A28"/>
          <w:sz w:val="20"/>
        </w:rPr>
        <w:t>Traffic trend improvement — February 2026 showed better performance than November/December, and if the turnaround gains momentum, same-store sales could inflect positive by late FY2026 [1]</w:t>
      </w:r>
    </w:p>
    <w:p>
      <w:pPr>
        <w:spacing w:before="40" w:after="40"/>
        <w:ind w:left="283"/>
      </w:pPr>
      <w:r>
        <w:rPr>
          <w:rFonts w:ascii="Calibri" w:hAnsi="Calibri"/>
          <w:b/>
          <w:color w:val="4A6B25"/>
          <w:sz w:val="20"/>
        </w:rPr>
        <w:t xml:space="preserve">3. </w:t>
      </w:r>
      <w:r>
        <w:rPr>
          <w:rFonts w:ascii="Calibri" w:hAnsi="Calibri"/>
          <w:b w:val="0"/>
          <w:color w:val="3A4A28"/>
          <w:sz w:val="20"/>
        </w:rPr>
        <w:t>Extreme valuation reset — at 0.2x revenue and $656M market cap, any credible turnaround evidence could drive significant multiple expansion from deeply depressed levels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traffic decline — comparable restaurant traffic fell 10.1% in Q2 FY2026, and the casual dining secular decline may overwhelm any turnaround efforts [1]</w:t>
      </w:r>
    </w:p>
    <w:p>
      <w:pPr>
        <w:spacing w:before="40" w:after="40"/>
        <w:ind w:left="283"/>
      </w:pPr>
      <w:r>
        <w:rPr>
          <w:rFonts w:ascii="Calibri" w:hAnsi="Calibri"/>
          <w:b/>
          <w:color w:val="4A6B25"/>
          <w:sz w:val="20"/>
        </w:rPr>
        <w:t xml:space="preserve">2. </w:t>
      </w:r>
      <w:r>
        <w:rPr>
          <w:rFonts w:ascii="Calibri" w:hAnsi="Calibri"/>
          <w:b w:val="0"/>
          <w:color w:val="3A4A28"/>
          <w:sz w:val="20"/>
        </w:rPr>
        <w:t>Balance sheet stress — D/E of 283.3% with $1.21B debt, $8.6M cash, and negative free cash flow of -$48M creates solvency risk if the turnaround takes longer than expected [4]</w:t>
      </w:r>
    </w:p>
    <w:p>
      <w:pPr>
        <w:spacing w:before="40" w:after="40"/>
        <w:ind w:left="283"/>
      </w:pPr>
      <w:r>
        <w:rPr>
          <w:rFonts w:ascii="Calibri" w:hAnsi="Calibri"/>
          <w:b/>
          <w:color w:val="4A6B25"/>
          <w:sz w:val="20"/>
        </w:rPr>
        <w:t xml:space="preserve">3. </w:t>
      </w:r>
      <w:r>
        <w:rPr>
          <w:rFonts w:ascii="Calibri" w:hAnsi="Calibri"/>
          <w:b w:val="0"/>
          <w:color w:val="3A4A28"/>
          <w:sz w:val="20"/>
        </w:rPr>
        <w:t>Unsustainable dividend — payout ratio of 135% at the current $1.00/year rate means the dividend is being funded from debt, creating further potential for a cut that would pressure the stock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Cracker Barrel's core business — physical restaurants serving home-cooked meals with an in-person gift shop experience — is inherently protected from AI substitution. Dining out is a physical-world activity that AI cannot replace. The restaurant industry faces no meaningful AI displacement risk for its core revenue model [2]. Customer relationships are based on in-person hospitality, food quality, and the distinctive country store atmosphere. However, AI-driven food delivery platforms and ghost kitchens could modestly pressure dine-in traffic over time. AI Opportunity (1/1): Cracker Barrel is actively generating value from AI — machine learning labor forecasting reduced staffing costs by 13% in pilot locations, AI-driven loyalty personalization delivers mid-single-digit revenue lift per member, and the company estimates $100M in food waste reduction opportunity through AI optimization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Cracker Barrel Q2 FY2026 Earnings Release — comparable sales declines, traffic down 10.1%, FY2026 guidance of $3.24-3.27B revenue, February 2026</w:t>
      </w:r>
    </w:p>
    <w:p>
      <w:pPr>
        <w:spacing w:before="20" w:after="20"/>
        <w:ind w:left="170"/>
      </w:pPr>
      <w:r>
        <w:rPr>
          <w:rFonts w:ascii="Calibri" w:hAnsi="Calibri"/>
          <w:b/>
          <w:color w:val="4A6B25"/>
          <w:sz w:val="15"/>
        </w:rPr>
        <w:t xml:space="preserve">2. </w:t>
      </w:r>
      <w:r>
        <w:rPr>
          <w:rFonts w:ascii="Calibri" w:hAnsi="Calibri"/>
          <w:b w:val="0"/>
          <w:color w:val="3A4A28"/>
          <w:sz w:val="17"/>
        </w:rPr>
        <w:t>National CIO Review, AInvest — Cracker Barrel AI tech stack revival, labor forecasting savings, loyalty personalization results, logo rebrand controversy</w:t>
      </w:r>
    </w:p>
    <w:p>
      <w:pPr>
        <w:spacing w:before="20" w:after="20"/>
        <w:ind w:left="170"/>
      </w:pPr>
      <w:r>
        <w:rPr>
          <w:rFonts w:ascii="Calibri" w:hAnsi="Calibri"/>
          <w:b/>
          <w:color w:val="4A6B25"/>
          <w:sz w:val="15"/>
        </w:rPr>
        <w:t xml:space="preserve">3. </w:t>
      </w:r>
      <w:r>
        <w:rPr>
          <w:rFonts w:ascii="Calibri" w:hAnsi="Calibri"/>
          <w:b w:val="0"/>
          <w:color w:val="3A4A28"/>
          <w:sz w:val="17"/>
        </w:rPr>
        <w:t>Cracker Barrel corporate website and ESG reports — sustainability initiatives, company history, brand identity</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CBRL,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