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CBSH</w:t>
      </w:r>
      <w:r>
        <w:rPr>
          <w:rFonts w:ascii="Calibri" w:hAnsi="Calibri"/>
          <w:b/>
          <w:color w:val="1A2010"/>
          <w:sz w:val="40"/>
        </w:rPr>
        <w:t xml:space="preserve">  Commerce Bancshares, Inc.</w:t>
      </w:r>
    </w:p>
    <w:p>
      <w:pPr>
        <w:spacing w:after="120"/>
      </w:pPr>
      <w:r>
        <w:rPr>
          <w:rFonts w:ascii="Calibri" w:hAnsi="Calibri"/>
          <w:b/>
          <w:color w:val="6E8450"/>
          <w:sz w:val="18"/>
        </w:rPr>
        <w:t>DIVIDEND SLEEVE · 2026-04-28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Commerce Bancshares is the bank holding company for Commerce Bank, providing retail, mortgage banking, corporate, investment, trust, and asset management products and services. Operating through Retail Banking, Commercial, and Wealth segments, the company serves individuals and businesses primarily across Missouri, Kansas, Illinois, Oklahoma, and Colorado. Commerce Bank has operated for over 150 years.</w:t>
      </w:r>
    </w:p>
    <w:p>
      <w:r>
        <w:rPr>
          <w:rFonts w:ascii="Calibri" w:hAnsi="Calibri"/>
          <w:b/>
          <w:color w:val="6E8450"/>
          <w:sz w:val="18"/>
        </w:rPr>
        <w:t>4,960 Employees · https://www.commercebank.com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Commerce Bancshares has delivered steady, conservative growth over the past five years without transformative product launches or business model pivots. FY2025 revenue of $1.77B grew 6.3% YoY, and Q1 2026 revenue of $475.7M rose 10.5% YoY, partly driven by the FineMark National Banker acquisition [1]. The company has executed well as a traditional regional bank but has not launched category-defining products. AI Deployment (1/2): Commerce Bank has invested in digital transformation through a dedicated Enterprise Digital Strategy team led by SVP Derrick Brooks, encompassing digital marketing, innovation, and user experience across retail, wealth, and commercial lines [2]. However, no specific AI-powered products shipping to customers or quantified AI-driven cost savings have been publicly reported. Market Share (1/2): Commerce Bank holds meaningful market share in its core Midwest markets (Missouri, Kansas, Illinois, Oklahoma, Colorado) with a high-quality deposit franchise, but is a mid-sized regional bank without national scale or category leadership [1]. Product Pipeline (0/2): No significant next-generation product launches with specific timelines or revenue visibility have been announced beyond standard digital banking enhancements. R&amp;D Intensity (1/1): The bank invests in technology and digital capabilities, with dedicated innovation leadership positions reflecting above-average commitment for a regional bank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Commerce Bank describes its approach through the annual report theme 'From Insight to Action,' with CEO Kemper emphasizing 'sound strategy and disciplined execution' and running an 'all-weather business' [1]. This reflects thoughtful intentionality about the bank's role in its communities, though it's not distinctively inspirational beyond what strong regional banks typically articulate. Community Impact (2/2): Commerce Bank has operated for over 150 years in its Midwest communities, reflecting deep multi-generational community commitment. The bank's wealth management, trust, and retail banking services are fundamentally community-focused, and the Kemper family's long involvement in the bank demonstrates genuine local institutional commitment [2]. Employee Retention (1/2): The Kemper family leadership continuity — David Kemper as Executive Chairman and John Kemper as CEO since 2018 — reflects organizational stability and internal succession. The 2025 AGM saw 91% say-on-pay approval, indicating broad shareholder confidence in management [1]. However, specific employee retention or turnover data is not publicly available. Insider Buying (1/2): The Kemper family holds significant equity positions, aligning leadership interests with shareholders. No standout net insider buying was identified in recent quarters, though the family's long-term ownership stake demonstrates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Commerce Bancshares scores exceptionally well on dividend-weighted Infrastructure metrics, reflecting a high-quality, conservatively managed regional bank. D/E is excluded (not applicable for bank holding companies in the standard sense) [4]. ROE of 14.9% is just below the 15% target, scoring 0.996. Revenue growth YoY of 6.3% scores 0.88, and 5-year CAGR of approximately 5.7% scores 0.71 [1]. Forward P/E of 11.8x is well below the 20x target, scoring 1.0, and profit margin of 32.3% significantly exceeds the 20% target, scoring 1.0 [4]. Dividend metrics are strong: payout ratio of 26.4% is conservative (score 1.0), 40+ consecutive years of dividends paid (score 1.0, 2x weight), 25+ consecutive years of growth (score 1.0), and 5-year dividend growth CAGR of ~4.6% scores 0.77 at 2x weight [4]. Liquidity floor easily cleared: 1.34M avg volume x $51.02 = $68.1M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Commerce Bancshares exemplifies many infinite game characteristics through its 150+ year operating history, multi-generational Kemper family leadership, and conservative 'all-weather business' philosophy. The bank's focus on endurance over disruption, community roots over national expansion, and steady dividend growth over aggressive earnings optimization reflect genuine long-term thinking. However, the bank lacks the bold strategic pivots and transformative cause that characterize the strongest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Commerce Bank's cause — being an enduring financial institution that serves Midwest communities through multiple economic cycles — has been validated by over 150 years of continuous operation, including surviving the Great Depression, multiple banking crises, and the 2008 financial crisis without cutting its dividend [1]. The Kemper family's multi-generational involvement demonstrates that the institution's purpose transcends any single leader. CEO Kemper's 'all-weather business' language reflects genuine endurance thinking. However, the cause is more about institutional preservation than a transformative vision of a better future — it's admirable but not Sinek's ideal of a Just Cause that inspires sacrifice. Score: 2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Commerce Bank demonstrates strong organizational trust through its multi-generational family leadership and institutional stability. The Kemper family's long tenure — David Kemper as Executive Chairman and John Kemper as CEO — reflects deep institutional continuity rarely seen in banking [2]. The 2025 AGM saw 91% say-on-pay approval, indicating broad alignment between management and shareholders [1]. The bank's 4,960 employees operate across stable Midwest markets, and the conservative culture of the institution has been maintained through leadership transitions over decades. The bank's 150+ year survival through multiple crises demonstrates a culture that endures.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Commerce Bank operates alongside larger national banks (JPMorgan, Bank of America) and regional peers without framing competition in destructive terms. CEO Kemper's 'all-weather business' language focuses on the bank's own resilience and discipline rather than defeating competitors [1]. The FineMark acquisition demonstrates willingness to partner with and integrate other institutions rather than viewing them purely as threats.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Commerce Bank has shown limited existential flexibility — the bank has operated essentially the same community banking business model for over a century. While the FineMark acquisition expands geographic reach and the digital strategy team reflects adaptation to technology, these are incremental evolutions rather than transformative reinventions [1]. The bank has not abandoned a profitable business line or made a dramatic pivot in service of a larger purpose. In Sinek's framework, this reflects institutional conservatism rather than existential courage. Score: 0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Commerce Bancshares has demonstrated courage through its commitment to conservative credit underwriting even when peers pursued more aggressive growth strategies. The bank maintained its dividend through periods when other regional banks cut theirs, and the recent FineMark acquisition shows willingness to invest in growth while maintaining its conservative philosophy [1]. However, these are measured, incremental decisions rather than the kind of costly long-term bets that Sinek's framework demands — the bank has never made a truly transformative sacrifice.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Commerce Bancshares is a high-quality, conservatively managed regional bank with a 150+ year operating history, 40+ consecutive years of dividend payments, and 25+ consecutive years of dividend growth. Q1 2026 results showed 10.5% YoY revenue growth to $475.7M and EPS of $0.96 (beating estimates by 16.5%), with net interest income up 6% and non-interest income up 10.6% [1]. At a forward P/E of 11.8x with a 2.16% yield and 26.4% payout ratio, the stock is attractively valued for a bank with 32.3% profit margins and ROE approaching 15% [4]. The FineMark acquisition expands the bank's wealth management franchise and geographic footprint, with $11.9M in targeted annual cost synergies providing additional earnings upside [1]. The Kemper family's multi-generational ownership and conservative credit culture provide confidence in long-term stewardship.</w:t>
      </w:r>
    </w:p>
    <w:p>
      <w:pPr>
        <w:spacing w:after="120"/>
      </w:pPr>
      <w:r>
        <w:rPr>
          <w:rFonts w:ascii="Calibri" w:hAnsi="Calibri"/>
          <w:b w:val="0"/>
          <w:color w:val="3A4A28"/>
          <w:sz w:val="20"/>
        </w:rPr>
        <w:t>The bear case for Commerce Bancshares centers on limited growth potential and the structural challenges facing regional banking. Revenue growth of 6.3% YoY and 5-year CAGR of ~5.7% reflect the inherent limitations of a Midwest-focused regional bank with modest geographic expansion opportunities [4]. The PEG ratio of 2.06 suggests the market is pricing in limited earnings growth acceleration. The FineMark integration carries execution risk, and the $11.9M in targeted synergies face near-term integration costs that temper earnings visibility [1]. Regional banks face secular pressure from fintech disruption, AI-enabled digital banking competitors, and potential regulatory changes that could favor national scale over local relationships. Interest rate sensitivity remains a key risk — while rising rates have benefited net interest income, a rapid rate decline could compress margins. Dividend growth CAGR of ~4.6% is below the 6% target (2x inflation), suggesting dividend growth may not keep pace with long-term real return expectations [4]. Commerce Bank's conservative approach, while protecting downside, also limits the upside potential relative to more aggressive growth-oriented banks.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FineMark acquisition integration with $11.9M in targeted annual cost synergies expanding wealth management and geographic reach, driving Q1 2026 revenue growth of 10.5% YoY [1]</w:t>
      </w:r>
    </w:p>
    <w:p>
      <w:pPr>
        <w:spacing w:before="40" w:after="40"/>
        <w:ind w:left="283"/>
      </w:pPr>
      <w:r>
        <w:rPr>
          <w:rFonts w:ascii="Calibri" w:hAnsi="Calibri"/>
          <w:b/>
          <w:color w:val="4A6B25"/>
          <w:sz w:val="20"/>
        </w:rPr>
        <w:t xml:space="preserve">2. </w:t>
      </w:r>
      <w:r>
        <w:rPr>
          <w:rFonts w:ascii="Calibri" w:hAnsi="Calibri"/>
          <w:b w:val="0"/>
          <w:color w:val="3A4A28"/>
          <w:sz w:val="20"/>
        </w:rPr>
        <w:t>Continued net interest income expansion — Q1 2026 NII of $299.8M was up 6% quarter-over-quarter, reflecting favorable rate positioning and loan growth in core Midwest markets [1]</w:t>
      </w:r>
    </w:p>
    <w:p>
      <w:pPr>
        <w:spacing w:before="40" w:after="40"/>
        <w:ind w:left="283"/>
      </w:pPr>
      <w:r>
        <w:rPr>
          <w:rFonts w:ascii="Calibri" w:hAnsi="Calibri"/>
          <w:b/>
          <w:color w:val="4A6B25"/>
          <w:sz w:val="20"/>
        </w:rPr>
        <w:t xml:space="preserve">3. </w:t>
      </w:r>
      <w:r>
        <w:rPr>
          <w:rFonts w:ascii="Calibri" w:hAnsi="Calibri"/>
          <w:b w:val="0"/>
          <w:color w:val="3A4A28"/>
          <w:sz w:val="20"/>
        </w:rPr>
        <w:t>25+ consecutive years of dividend growth with a conservative 26.4% payout ratio providing ample room for continued dividend increases and share buybacks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Limited organic growth potential — a Midwest-focused regional bank with 5.7% 5-year revenue CAGR and PEG ratio of 2.06 may struggle to deliver earnings growth above mid-single digits without further acquisitions [4]</w:t>
      </w:r>
    </w:p>
    <w:p>
      <w:pPr>
        <w:spacing w:before="40" w:after="40"/>
        <w:ind w:left="283"/>
      </w:pPr>
      <w:r>
        <w:rPr>
          <w:rFonts w:ascii="Calibri" w:hAnsi="Calibri"/>
          <w:b/>
          <w:color w:val="4A6B25"/>
          <w:sz w:val="20"/>
        </w:rPr>
        <w:t xml:space="preserve">2. </w:t>
      </w:r>
      <w:r>
        <w:rPr>
          <w:rFonts w:ascii="Calibri" w:hAnsi="Calibri"/>
          <w:b w:val="0"/>
          <w:color w:val="3A4A28"/>
          <w:sz w:val="20"/>
        </w:rPr>
        <w:t>Fintech and AI-enabled digital banking competition could erode Commerce Bank's retail banking franchise, particularly among younger customers who prefer digital-first banking relationships [2]</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a rapid rate decline could compress net interest margins, which have been a key driver of recent earnings growth, while credit quality could deteriorate in an economic downturn affecting Midwest commercial borrowers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Commerce Bank's core business — relationship-based community banking, commercial lending, wealth management, and trust services — has meaningful protection from AI disruption. The Midwest community banking model relies on local relationships, physical branch networks, regulatory knowledge, and decades of credit underwriting expertise that AI cannot easily replicate [2]. Trust and wealth management services involve fiduciary relationships with high switching costs. However, retail banking services face growing pressure from AI-powered fintech competitors (digital lending, robo-advisory, AI-driven payment processing), and AI could enable larger national banks to compete more effectively in Commerce Bank's regional markets through personalized digital services at scale. The bank's Digital Strategy team under SVP Brooks signals awareness of this threat [2]. AI Opportunity (0/1): Commerce Bank does not generate meaningful revenue from AI products. While the bank invests in digital transformation, no specific AI-driven revenue or quantified efficiency gains have been publicly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Commerce Bancshares Q1 2026 Results — $475.7M revenue (+10.5% YoY), EPS $0.96 (+16.5% beat), NII $299.8M (+6% QoQ), FineMark acquisition completion with $11.9M annual synergy target, dividend increase; April 2026</w:t>
      </w:r>
    </w:p>
    <w:p>
      <w:pPr>
        <w:spacing w:before="20" w:after="20"/>
        <w:ind w:left="170"/>
      </w:pPr>
      <w:r>
        <w:rPr>
          <w:rFonts w:ascii="Calibri" w:hAnsi="Calibri"/>
          <w:b/>
          <w:color w:val="4A6B25"/>
          <w:sz w:val="15"/>
        </w:rPr>
        <w:t xml:space="preserve">2. </w:t>
      </w:r>
      <w:r>
        <w:rPr>
          <w:rFonts w:ascii="Calibri" w:hAnsi="Calibri"/>
          <w:b w:val="0"/>
          <w:color w:val="3A4A28"/>
          <w:sz w:val="17"/>
        </w:rPr>
        <w:t>Commerce Bancshares leadership and culture — CEO John Kemper (since 2018), Executive Chairman David Kemper, SVP Derrick Brooks (Enterprise Digital Strategy), 'From Insight to Action' annual theme, 91% say-on-pay approval; Comparably, LinkedIn, Commerce Bank website, 2024-2026</w:t>
      </w:r>
    </w:p>
    <w:p>
      <w:pPr>
        <w:spacing w:before="20" w:after="20"/>
        <w:ind w:left="170"/>
      </w:pPr>
      <w:r>
        <w:rPr>
          <w:rFonts w:ascii="Calibri" w:hAnsi="Calibri"/>
          <w:b/>
          <w:color w:val="4A6B25"/>
          <w:sz w:val="15"/>
        </w:rPr>
        <w:t xml:space="preserve">3. </w:t>
      </w:r>
      <w:r>
        <w:rPr>
          <w:rFonts w:ascii="Calibri" w:hAnsi="Calibri"/>
          <w:b w:val="0"/>
          <w:color w:val="3A4A28"/>
          <w:sz w:val="17"/>
        </w:rPr>
        <w:t>Commerce Bancshares ESG — no significant controversies identified, 150+ year community banking heritage in Midwest markets;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CBSH (Commerce Bancshares),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