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CBZ</w:t>
      </w:r>
      <w:r>
        <w:rPr>
          <w:rFonts w:ascii="Calibri" w:hAnsi="Calibri"/>
          <w:b/>
          <w:color w:val="1A2010"/>
          <w:sz w:val="40"/>
        </w:rPr>
        <w:t xml:space="preserve">  CBIZ, Inc.</w:t>
      </w:r>
    </w:p>
    <w:p>
      <w:pPr>
        <w:spacing w:after="120"/>
      </w:pPr>
      <w:r>
        <w:rPr>
          <w:rFonts w:ascii="Calibri" w:hAnsi="Calibri"/>
          <w:b/>
          <w:color w:val="6E8450"/>
          <w:sz w:val="18"/>
        </w:rPr>
        <w:t>GROWTH SLEEVE · 2026-05-02 · Inspire: 37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Business Services · NYSE · United States</w:t>
      </w:r>
    </w:p>
    <w:p>
      <w:pPr>
        <w:spacing w:after="80"/>
      </w:pPr>
      <w:r>
        <w:rPr>
          <w:rFonts w:ascii="Calibri" w:hAnsi="Calibri"/>
          <w:b w:val="0"/>
          <w:color w:val="3A4A28"/>
          <w:sz w:val="20"/>
        </w:rPr>
        <w:t>CBIZ, Inc. provides professional business services including financial services (accounting, tax, advisory), benefits and insurance services, and technology solutions to organizations of various sizes across the United States.</w:t>
      </w:r>
    </w:p>
    <w:p>
      <w:r>
        <w:rPr>
          <w:rFonts w:ascii="Calibri" w:hAnsi="Calibri"/>
          <w:b/>
          <w:color w:val="6E8450"/>
          <w:sz w:val="18"/>
        </w:rPr>
        <w:t>10,000 Employees · https://www.cbiz.com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CBIZ operates in professional services where innovation means M&amp;A-driven scale and service breadth rather than technology breakthroughs. The transformative Marcum merger roughly doubled the company's accounting practice and created a top-10 U.S. accounting firm [1]. The company references 'Responsible AI Designed for Impact' in its materials, suggesting nascent adoption of AI tools for audit and advisory work [2]. However, organic revenue growth of just 1% in Q1 2026 shows limited ability to innovate growth beyond acquisition.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Jerry Grisko has led since 2016 providing stability, and the company emphasizes core values of equity and integrity [2]. However, Glassdoor reviews (3.3/5 stars, 1,111 reviews) paint a mixed picture, with some employees citing 'poor culture and low morale' and a sole focus on revenue over development [2]. The company culture varies by office, which is common for large professional services firms post-merger, and integration of Marcum's culture remains an ongoing challenge.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CBIZ reported Q1 2026 revenue of $848.6M (+1.3% YoY) with net income of $161.6M ($2.63 EPS vs. $1.91 prior year), and raised FY2026 EPS guidance to $4.00-4.10 vs. consensus $3.79 [1]. Forward P/E of 7.16x is cheap for a professional services consolidator. However, profit margin is thin at 5.6%, D/E is elevated at 105% from the Marcum acquisition, ROE is modest at 8.1%, and organic growth of 1% includes 200bps headwind from integration-related client exits [1][3]. Liquidity is strong (1.33M avg volume x $32.16 = $42.8M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CBIZ operates with a mix of infinite and finite characteristics — the long-term consolidation strategy and client relationship focus suggest durability, but revenue-driven culture pressures and integration challenges indicate short-term performance orientation.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CBIZ's purpose of helping businesses navigate financial complexity and protect their people (via benefits/insurance) is functional rather than inspiring [2]. The company serves a legitimate need for mid-market businesses lacking internal expertise, but has not articulated a compelling vision beyond being the largest provider in its niche through acquisition.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indicate cultural friction post-Marcum merger, with some employees noting revenue focus over employee development and 'poor culture and low morale' [2]. The 3.3/5 rating and comments about inconsistent leadership across offices suggest trust varies significantly by team. The massive integration of two large firms inevitably strains established team dynamics and creates uncertainty.</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CBIZ has strategically positioned against Big 4 accounting firms by targeting the mid-market where those firms are too expensive and small firms lack capabilities [1]. The Marcum acquisition explicitly aimed to create scale competitive with larger regional firms. This awareness of competitive positioning and deliberate niche construction shows strategic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Marcum merger represents a significant strategic pivot from organic-growth professional services to acquisition-driven platform building, demonstrating willingness to fundamentally change the company's scale and operating model [1]. However, the 200bps headwind from integration-related client exits shows the cost of such transformation, and it remains unclear whether the combined entity can achieve the promised synergies.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Grisko demonstrated courage in executing the transformative Marcum merger despite integration risk and market skepticism — the stock has declined significantly since announcement [1][3]. The raised FY2026 guidance shows confidence in execution, but the ongoing valuation lawsuit (AmeriTex allegations of backdated valuations) creates reputational risk that leadership has not fully addressed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CBIZ is a mid-market professional services consolidator trading at a compelling forward P/E of 7.16x following the transformative Marcum merger that created a top-10 U.S. accounting firm. Q1 2026 EPS of $2.63 (vs. $1.91 prior year) and raised FY guidance to $4.00-4.10 demonstrate merger synergies flowing through, and management projects mid-single-digit organic growth improvement by year-end.</w:t>
      </w:r>
    </w:p>
    <w:p>
      <w:pPr>
        <w:spacing w:after="120"/>
      </w:pPr>
      <w:r>
        <w:rPr>
          <w:rFonts w:ascii="Calibri" w:hAnsi="Calibri"/>
          <w:b w:val="0"/>
          <w:color w:val="3A4A28"/>
          <w:sz w:val="20"/>
        </w:rPr>
        <w:t>The risk centers on integration execution: organic growth was just 1% in Q1 with 200bps headwind from client exits, profit margins remain thin at 5.6%, and the balance sheet carries elevated leverage (105% D/E) from deal financing. The AmeriTex valuation lawsuit creates headline risk, and AI disruption of routine accounting/tax work could pressure the business model over time. At 7x forward earnings, much of this risk is priced in — the stock offers value if integration succeeds but limited upside catalysts in the near term.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Organic revenue growth acceleration to mid-single digits as integration headwinds from client exits fade through 2026</w:t>
      </w:r>
    </w:p>
    <w:p>
      <w:pPr>
        <w:spacing w:before="40" w:after="40"/>
        <w:ind w:left="283"/>
      </w:pPr>
      <w:r>
        <w:rPr>
          <w:rFonts w:ascii="Calibri" w:hAnsi="Calibri"/>
          <w:b/>
          <w:color w:val="4A6B25"/>
          <w:sz w:val="20"/>
        </w:rPr>
        <w:t xml:space="preserve">2. </w:t>
      </w:r>
      <w:r>
        <w:rPr>
          <w:rFonts w:ascii="Calibri" w:hAnsi="Calibri"/>
          <w:b w:val="0"/>
          <w:color w:val="3A4A28"/>
          <w:sz w:val="20"/>
        </w:rPr>
        <w:t>Margin expansion from Marcum merger synergies flowing through to bottom line, demonstrating operating leverage</w:t>
      </w:r>
    </w:p>
    <w:p>
      <w:pPr>
        <w:spacing w:before="40" w:after="40"/>
        <w:ind w:left="283"/>
      </w:pPr>
      <w:r>
        <w:rPr>
          <w:rFonts w:ascii="Calibri" w:hAnsi="Calibri"/>
          <w:b/>
          <w:color w:val="4A6B25"/>
          <w:sz w:val="20"/>
        </w:rPr>
        <w:t xml:space="preserve">3. </w:t>
      </w:r>
      <w:r>
        <w:rPr>
          <w:rFonts w:ascii="Calibri" w:hAnsi="Calibri"/>
          <w:b w:val="0"/>
          <w:color w:val="3A4A28"/>
          <w:sz w:val="20"/>
        </w:rPr>
        <w:t>Successful resolution of AmeriTex valuation lawsuit removing governance overhang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organic growth stagnation as integration-related client attrition persists beyond management expectations</w:t>
      </w:r>
    </w:p>
    <w:p>
      <w:pPr>
        <w:spacing w:before="40" w:after="40"/>
        <w:ind w:left="283"/>
      </w:pPr>
      <w:r>
        <w:rPr>
          <w:rFonts w:ascii="Calibri" w:hAnsi="Calibri"/>
          <w:b/>
          <w:color w:val="4A6B25"/>
          <w:sz w:val="20"/>
        </w:rPr>
        <w:t xml:space="preserve">2. </w:t>
      </w:r>
      <w:r>
        <w:rPr>
          <w:rFonts w:ascii="Calibri" w:hAnsi="Calibri"/>
          <w:b w:val="0"/>
          <w:color w:val="3A4A28"/>
          <w:sz w:val="20"/>
        </w:rPr>
        <w:t>AI-powered accounting/tax automation from Intuit, Thomson Reuters reducing demand for mid-market compliance services</w:t>
      </w:r>
    </w:p>
    <w:p>
      <w:pPr>
        <w:spacing w:before="40" w:after="40"/>
        <w:ind w:left="283"/>
      </w:pPr>
      <w:r>
        <w:rPr>
          <w:rFonts w:ascii="Calibri" w:hAnsi="Calibri"/>
          <w:b/>
          <w:color w:val="4A6B25"/>
          <w:sz w:val="20"/>
        </w:rPr>
        <w:t xml:space="preserve">3. </w:t>
      </w:r>
      <w:r>
        <w:rPr>
          <w:rFonts w:ascii="Calibri" w:hAnsi="Calibri"/>
          <w:b w:val="0"/>
          <w:color w:val="3A4A28"/>
          <w:sz w:val="20"/>
        </w:rPr>
        <w:t>Valuation fraud lawsuit (AmeriTex/Marcum) proceeding through discovery with potential financial and reputational damage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presents a double-edged sword for CBIZ's accounting, tax, and advisory services. Generative AI and automation tools from larger competitors (Deloitte, PwC) and software vendors (Intuit, Thomson Reuters) could commoditize routine compliance work that forms CBIZ's base revenue [2]. However, CBIZ's advisory, benefits, and insurance services require human judgment and client relationships less susceptible to automation. The company's 'Responsible AI' initiative suggests awareness, but mid-market professional services firms face meaningful disruption risk from AI-powered tax/accounting tools reducing demand for billable hours.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CBIZ Q1 2026 Financial Results, GlobeNewsWire, April 29, 2026</w:t>
      </w:r>
    </w:p>
    <w:p>
      <w:pPr>
        <w:spacing w:before="20" w:after="20"/>
        <w:ind w:left="170"/>
      </w:pPr>
      <w:r>
        <w:rPr>
          <w:rFonts w:ascii="Calibri" w:hAnsi="Calibri"/>
          <w:b/>
          <w:color w:val="4A6B25"/>
          <w:sz w:val="15"/>
        </w:rPr>
        <w:t xml:space="preserve">2. </w:t>
      </w:r>
      <w:r>
        <w:rPr>
          <w:rFonts w:ascii="Calibri" w:hAnsi="Calibri"/>
          <w:b w:val="0"/>
          <w:color w:val="3A4A28"/>
          <w:sz w:val="17"/>
        </w:rPr>
        <w:t>Glassdoor — CBIZ Reviews and Leadership Information, accessed May 2026</w:t>
      </w:r>
    </w:p>
    <w:p>
      <w:pPr>
        <w:spacing w:before="20" w:after="20"/>
        <w:ind w:left="170"/>
      </w:pPr>
      <w:r>
        <w:rPr>
          <w:rFonts w:ascii="Calibri" w:hAnsi="Calibri"/>
          <w:b/>
          <w:color w:val="4A6B25"/>
          <w:sz w:val="15"/>
        </w:rPr>
        <w:t xml:space="preserve">3. </w:t>
      </w:r>
      <w:r>
        <w:rPr>
          <w:rFonts w:ascii="Calibri" w:hAnsi="Calibri"/>
          <w:b w:val="0"/>
          <w:color w:val="3A4A28"/>
          <w:sz w:val="17"/>
        </w:rPr>
        <w:t>CBIZ/Marcum Valuation Lawsuit — AmeriTex Discovery Proceeding, Simply Wall St/Yahoo Finance,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CBZ key statistics,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