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CCCC</w:t>
      </w:r>
      <w:r>
        <w:rPr>
          <w:rFonts w:ascii="Calibri" w:hAnsi="Calibri"/>
          <w:b/>
          <w:color w:val="1A2010"/>
          <w:sz w:val="40"/>
        </w:rPr>
        <w:t xml:space="preserve">  C4 Therapeutics, Inc.</w:t>
      </w:r>
    </w:p>
    <w:p>
      <w:pPr>
        <w:spacing w:after="120"/>
      </w:pPr>
      <w:r>
        <w:rPr>
          <w:rFonts w:ascii="Calibri" w:hAnsi="Calibri"/>
          <w:b/>
          <w:color w:val="6E8450"/>
          <w:sz w:val="18"/>
        </w:rPr>
        <w:t>GROWTH SLEEVE · 2026-04-19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C4 Therapeutics is a clinical-stage biopharmaceutical company developing novel targeted protein degradation therapeutics. Its lead candidate Cemsidomide targets IKZF1/3 for multiple myeloma, and it is advancing CFT8919 for EGFR L858R-mutant non-small cell lung cancer. The company has strategic collaborations with Roche (degrader-antibody conjugates), Betta Pharmaceuticals, and Merck KGaA.</w:t>
      </w:r>
    </w:p>
    <w:p>
      <w:r>
        <w:rPr>
          <w:rFonts w:ascii="Calibri" w:hAnsi="Calibri"/>
          <w:b/>
          <w:color w:val="6E8450"/>
          <w:sz w:val="18"/>
        </w:rPr>
        <w:t>104 Employees · https://www.c4therapeutics.com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C4 Therapeutics has advanced Cemsidomide through Phase 1 and initiated the Phase 2 NEXUS study in multiple myeloma, while also progressing CFT8919 into clinical trials for EGFR L858R NSCLC — incremental pipeline progress but no approved products or major pivots in 5 years [1]. AI Deployment (1/2): The company's TORPEDO platform uses computational and AI-driven approaches for targeted protein degradation design, though measurable revenue or cost savings from AI have not been disclosed [1]. Market Share (1/2): C4 is a meaningful player in the protein degradation space alongside Arvinas and Kymera, with validated partnerships (Roche $1B+ DAC deal in April 2026) confirming platform credibility [2]. Pipeline (1/2): Cemsidomide Phase 2 data expected 2026-2027 and the Roche DAC collaboration provide pipeline visibility, but timelines remain early-stage [1][2]. R&amp;D Intensity (1/1): R&amp;D spending dominates the cost structure typical of clinical-stage biotech, with operating expenses far exceeding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C4's mission to 'harness the power of targeted protein degradation to develop transformative therapies for patients with cancer and other serious diseases' is clear and specific to its science but not distinctive among biotech peers [1]. Community Impact (1/2): The company participates in standard biotech philanthropy and patient access programs, though no large-scale distinctive charitable initiatives are documented [1]. Employee Retention (1/2): With only 104 employees and a dedicated Chief People Officer (Kelly Schick), the company maintains a small, focused team; CEO Andrew Hirsch has served since September 2020 (5.5+ years), providing leadership stability [4]. Insider Buying (0/2): Insider transactions show primarily stock award grants and one notable insider sale by CMO Leonard Reyno ($22K in January 2026), with no meaningful open-market insider purchases observed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C4 Therapeutics' financial profile reflects a typical clinical-stage biotech: $35.9M in collaboration revenue (up 112.8% YoY from the Roche deal timing) but deeply unprofitable with -292% profit margin and -44.4% ROE [3][6]. The balance sheet is relatively clean with D/E of only 23.4% and $248.5M in cash against $60M debt, providing approximately 2+ years of runway at current burn rates [3]. Forward P/E is meaningless (negative) for an unprofitable company. The 3-year revenue CAGR of ~5% reflects volatile collaboration milestone payments rather than organic growth. Liquidity floor cleared: $2.92 × 2.57M avg daily volume = $7.5M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C4 Therapeutics shows elements of infinite game thinking through its long-term commitment to the protein degradation platform and willingness to invest in science without near-term revenue, but the company's survival depends on binary clinical outcomes and partnership milestones rather than a self-sustaining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C4's purpose — transforming patient outcomes through targeted protein degradation — is genuine and connects to a larger vision of precision medicine, but it reads as standard biotech boilerplate rather than a deeply distinctive Just Cause (1 pt) [1]. The company has not yet proven this cause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104 employees and CEO Hirsch in place for 5.5+ years, C4 maintains a stable small-team environment. The appointment of a dedicated Chief People Officer for a ~100-person company signals intentionality around culture (1 pt) [4]. However, no exceptional trust indicators (long tenure data, cultural awards)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C4 operates in the targeted protein degradation space alongside Arvinas and Kymera Therapeutics, and management consistently references learning from the broader degrader field rather than framing competition as winner-take-all (1 pt) [1]. The Roche collaboration suggests C4 views partnerships and ecosystem building over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C4 has shown incremental flexibility by expanding from small-molecule degraders into the novel degrader-antibody conjugate (DAC) modality through the Roche partnership, adapting its platform to new therapeutic approaches (1 pt) [2]. However, this is evolution within the same core technology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C4's leadership has continued investing in R&amp;D ($98.7M operating cash outflow) despite a $285M market cap — maintaining the long-term scientific vision when a smaller company might pivot to cost-cutting (1 pt) [3]. The Roche deal structure prioritizes long-term collaboration over short-term cash maximization.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C4 Therapeutics is a clinical-stage protein degradation company with validated platform technology, evidenced by the $1B+ Roche degrader-antibody conjugate collaboration signed in April 2026 [2]. Lead candidate Cemsidomide is in Phase 2 (NEXUS study) targeting multiple myeloma with analyst estimates of $2.5-4B peak revenue potential in combination with BCMA BiTEs, and CFT8919 addresses EGFR L858R NSCLC [1]. The company's $248.5M cash position provides roughly 2+ years of runway, and the low D/E of 23.4% reflects conservative capital management for a clinical-stage company [3]. Revenue of $35.9M (up 112.8% YoY) is driven by collaboration milestones rather than product sales.</w:t>
      </w:r>
    </w:p>
    <w:p>
      <w:pPr>
        <w:spacing w:after="120"/>
      </w:pPr>
      <w:r>
        <w:rPr>
          <w:rFonts w:ascii="Calibri" w:hAnsi="Calibri"/>
          <w:b w:val="0"/>
          <w:color w:val="3A4A28"/>
          <w:sz w:val="20"/>
        </w:rPr>
        <w:t>The bear case is binary clinical risk: Cemsidomide Phase 2 failure would eliminate the primary value driver, and the company burns ~$99M annually in operating cash with no path to profitability without clinical success [3]. At $285M market cap, the stock prices in significant platform optionality but remains highly speculative. Competition in the protein degradation space from Arvinas (ARV-471 approved), Kymera, and larger pharma entrants could compress C4's competitive positioning. The volatile collaboration revenue ($20.8M in 2023, $35.6M in 2024, $35.9M in 2025) depends on partner milestones that C4 cannot control. With only 104 employees, key-person risk is elevated — loss of scientific leadership could derail programs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Cemsidomide Phase 2 NEXUS study data readout in multiple myeloma, expected 2026-2027, with $2.5-4B peak revenue potential in BCMA BiTE combinations [1]</w:t>
      </w:r>
    </w:p>
    <w:p>
      <w:pPr>
        <w:spacing w:before="40" w:after="40"/>
        <w:ind w:left="283"/>
      </w:pPr>
      <w:r>
        <w:rPr>
          <w:rFonts w:ascii="Calibri" w:hAnsi="Calibri"/>
          <w:b/>
          <w:color w:val="4A6B25"/>
          <w:sz w:val="20"/>
        </w:rPr>
        <w:t xml:space="preserve">2. </w:t>
      </w:r>
      <w:r>
        <w:rPr>
          <w:rFonts w:ascii="Calibri" w:hAnsi="Calibri"/>
          <w:b w:val="0"/>
          <w:color w:val="3A4A28"/>
          <w:sz w:val="20"/>
        </w:rPr>
        <w:t>Roche DAC collaboration milestones — $1B+ deal signed April 2026 could generate near-term milestone payments and validate degrader-antibody conjugate modality [2]</w:t>
      </w:r>
    </w:p>
    <w:p>
      <w:pPr>
        <w:spacing w:before="40" w:after="40"/>
        <w:ind w:left="283"/>
      </w:pPr>
      <w:r>
        <w:rPr>
          <w:rFonts w:ascii="Calibri" w:hAnsi="Calibri"/>
          <w:b/>
          <w:color w:val="4A6B25"/>
          <w:sz w:val="20"/>
        </w:rPr>
        <w:t xml:space="preserve">3. </w:t>
      </w:r>
      <w:r>
        <w:rPr>
          <w:rFonts w:ascii="Calibri" w:hAnsi="Calibri"/>
          <w:b w:val="0"/>
          <w:color w:val="3A4A28"/>
          <w:sz w:val="20"/>
        </w:rPr>
        <w:t>CFT8919 clinical data in EGFR L858R NSCLC providing a second independent value driver beyond Cemsidomide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2 failure of Cemsidomide would eliminate the primary value thesis with no approved products to fall back on [1]</w:t>
      </w:r>
    </w:p>
    <w:p>
      <w:pPr>
        <w:spacing w:before="40" w:after="40"/>
        <w:ind w:left="283"/>
      </w:pPr>
      <w:r>
        <w:rPr>
          <w:rFonts w:ascii="Calibri" w:hAnsi="Calibri"/>
          <w:b/>
          <w:color w:val="4A6B25"/>
          <w:sz w:val="20"/>
        </w:rPr>
        <w:t xml:space="preserve">2. </w:t>
      </w:r>
      <w:r>
        <w:rPr>
          <w:rFonts w:ascii="Calibri" w:hAnsi="Calibri"/>
          <w:b w:val="0"/>
          <w:color w:val="3A4A28"/>
          <w:sz w:val="20"/>
        </w:rPr>
        <w:t>Cash runway pressure — $99M annual operating cash burn against $249M cash means the company may need to raise capital (dilutive) within 2-3 years without a major milestone payment [3]</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in protein degradation — Arvinas, Kymera, and large pharma internal programs could advance faster or prove superior degrader approaches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C4 Therapeutics operates in drug discovery and clinical development — a domain with high regulatory barriers (FDA approval processes), physical-world requirements (clinical trials, manufacturing), and deep scientific complexity that AI cannot easily replicate [1]. While AI is transforming drug discovery timelines and could benefit competitors, the core value is in proprietary degrader chemistry, clinical data, and regulatory approvals that remain fundamentally human-driven processes. AI is more enabler than disruptor here. AI Opportunity (1/1): C4's TORPEDO computational platform leverages AI/ML for degrader design, and the $1B+ Roche DAC collaboration validates the platform's AI-enhanced drug discovery capabilities as a revenue-generating asset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C4 Therapeutics Q4 2025 Earnings Report — $35.9M annual revenue, Cemsidomide Phase 2 NEXUS study update, February 2026</w:t>
      </w:r>
    </w:p>
    <w:p>
      <w:pPr>
        <w:spacing w:before="20" w:after="20"/>
        <w:ind w:left="170"/>
      </w:pPr>
      <w:r>
        <w:rPr>
          <w:rFonts w:ascii="Calibri" w:hAnsi="Calibri"/>
          <w:b/>
          <w:color w:val="4A6B25"/>
          <w:sz w:val="15"/>
        </w:rPr>
        <w:t xml:space="preserve">2. </w:t>
      </w:r>
      <w:r>
        <w:rPr>
          <w:rFonts w:ascii="Calibri" w:hAnsi="Calibri"/>
          <w:b w:val="0"/>
          <w:color w:val="3A4A28"/>
          <w:sz w:val="17"/>
        </w:rPr>
        <w:t>C4 Therapeutics 8-K Filing — $1B+ Degrader-Antibody Conjugate collaboration with Roche, April 8,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CCCC — key statistics and financial data,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C4 Therapeutics Investor Relations — leadership team and corporate governance,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C4 Therapeutics SEC filings — insider transaction data,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CCCC stock price, volume, and market data, accessed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