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CCC</w:t>
      </w:r>
      <w:r>
        <w:rPr>
          <w:rFonts w:ascii="Calibri" w:hAnsi="Calibri"/>
          <w:b/>
          <w:color w:val="1A2010"/>
          <w:sz w:val="40"/>
        </w:rPr>
        <w:t xml:space="preserve">  Claros Mortgage Trust, Inc.</w:t>
      </w:r>
    </w:p>
    <w:p>
      <w:pPr>
        <w:spacing w:after="120"/>
      </w:pPr>
      <w:r>
        <w:rPr>
          <w:rFonts w:ascii="Calibri" w:hAnsi="Calibri"/>
          <w:b/>
          <w:color w:val="6E8450"/>
          <w:sz w:val="18"/>
        </w:rPr>
        <w:t>DIVIDEND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Claros Mortgage Trust, Inc. is a commercial real estate (CRE) mortgage REIT externally managed by Mack Real Estate Credit Strategies, specializing in transitional commercial real estate loans across major U.S. markets. The company has been managing significant credit losses and portfolio rundown through 2025-2026 following stress in the office, multifamily, and hotel sectors.</w:t>
      </w:r>
    </w:p>
    <w:p>
      <w:r>
        <w:rPr>
          <w:rFonts w:ascii="Calibri" w:hAnsi="Calibri"/>
          <w:b/>
          <w:color w:val="6E8450"/>
          <w:sz w:val="18"/>
        </w:rPr>
        <w:t>50 Employees · https://www.clarosmortgage.com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Claros Mortgage Trust is a traditional CRE lending REIT with no meaningful product innovation or strategic pivots — scoring 0 on Innovation Track Record. The company deploys capital in transitional CRE loans, a well-established lending category. No AI deployment with measurable results found — scoring 0. No category leadership position; CMTG is a mid-sized REIT competing against Starwood, Blackstone Mortgage, and similar vehicles — scoring 1 for meaningful participant. No next-gen products or pipeline — scoring 0. R&amp;D intensity is near-zero for a REIT — scoring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CMTG's stated purpose around 'creative capital solutions for transitional commercial real estate' is generic and interchangeable — scoring 1 on mission floor. No distinctive community impact programs identified for a CRE lending REIT — scoring 0. The company has been executing a portfolio rundown and credit loss management strategy that suggests organizational stress — scoring 0. Notably, CEO Richard Mack purchased $121,059 in stock in 2025, demonstrating some insider conviction at depressed prices — scoring 2 for meaningful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CMTG reported 2025 GAAP net loss of $1.56/share and distributable loss of $0.71/share[1]. The dividend was suspended in January 2025. Total debt is $4.68B against $127.83M cash. D/E ratio is 2.42x. ROE is -11.91%. Revenue TTM is $22.19M versus prior estimates of $190M+ — severe portfolio contraction. The company does pay a nominal $0.35 annual dividend (yield ~14%) but this is unsustainable with negative distributable earnings. Liquidity: stock price ~$2.53 × avg daily volume ~500,000 = ~$1.27M, barely above the $1M liquidity floor. Leverage reduced from 2.4x to 1.9x net D/E in 2025 but remains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Claros Mortgage Trust is in portfolio workout mode — the board suspended the dividend, management is focused on loss mitigation and asset resolution, and the primary 2026 objective is to position the company to begin evaluating new lending opportunities. This is survival-oriented finite game management, not infinite game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CMTG has no discernible Just Cause beyond providing returns to shareholders through CRE mortgage lending. The company's current priority is debt refinancing and portfolio rundown. Scores 0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dividend suspension, deep credit losses, and portfolio rundown create organizational stress and investor uncertainty. The external management structure (Mack Real Estate Credit Strategies) means the team serves multiple interests. Scores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learning mindset. The company is in defensive mode. Scores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meaningful strategic flexibility or pivot capability. The company is managing an inherited portfolio. Scores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January 2026 refinancing of the $718M Term Loan B with a $500M HPS loan demonstrates proactive balance sheet management. CEO Mack's $121,059 personal stock purchase at depressed prices shows some conviction.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CMTG bull case is a deep-value distressed credit recovery play: shares trade at approximately 0.22x book value with the company holding real CRE assets now being resolved through workout processes[1]. If the CRE market stabilizes and interest rates decline, non-accrual loan resolutions could produce realized gains versus book value markdowns, and the company could return to positive distributable earnings by 2026 (analyst estimates show +$0.01 EPS in 2026 versus -$1.68 in 2025). CEO insider buying at depressed prices and debt refinancing to 2030 maturity provide runway for recovery.</w:t>
      </w:r>
    </w:p>
    <w:p>
      <w:pPr>
        <w:spacing w:after="120"/>
      </w:pPr>
      <w:r>
        <w:rPr>
          <w:rFonts w:ascii="Calibri" w:hAnsi="Calibri"/>
          <w:b w:val="0"/>
          <w:color w:val="3A4A28"/>
          <w:sz w:val="20"/>
        </w:rPr>
        <w:t>The bear case is severe: CMTG has a 2025 net loss of $1.56/share, suspended dividend, $4.68B in debt against $128M cash, negative ROE of -11.91%, and an Underperform rating from KBW with a $2.50 price target[1]. The CRE market faces continued office vacancies, rising capitalization rates, and limited transaction activity. The $500M HPS refinancing at SOFR+675bps reflects deeply distressed credit pricing. Watch list loans and REO assets require capital and management attention that could prevent any new lending for years. Revenue TTM is $22M versus the $190M+ estimates from a year ago — this is portfolio implosion, not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 market transaction volume recovery in 2026-2027 enabling asset sales at prices near book value rather than distressed write-downs, reducing net losses and potentially returning to positive distributable earnings</w:t>
      </w:r>
    </w:p>
    <w:p>
      <w:pPr>
        <w:spacing w:before="40" w:after="40"/>
        <w:ind w:left="283"/>
      </w:pPr>
      <w:r>
        <w:rPr>
          <w:rFonts w:ascii="Calibri" w:hAnsi="Calibri"/>
          <w:b/>
          <w:color w:val="4A6B25"/>
          <w:sz w:val="20"/>
        </w:rPr>
        <w:t xml:space="preserve">2. </w:t>
      </w:r>
      <w:r>
        <w:rPr>
          <w:rFonts w:ascii="Calibri" w:hAnsi="Calibri"/>
          <w:b w:val="0"/>
          <w:color w:val="3A4A28"/>
          <w:sz w:val="20"/>
        </w:rPr>
        <w:t>Federal Reserve interest rate cuts reducing borrowing costs on the HPS loan (SOFR+675bps) and improving the mark-to-market on floating-rate CRE assets in the portfolio</w:t>
      </w:r>
    </w:p>
    <w:p>
      <w:pPr>
        <w:spacing w:before="40" w:after="40"/>
        <w:ind w:left="283"/>
      </w:pPr>
      <w:r>
        <w:rPr>
          <w:rFonts w:ascii="Calibri" w:hAnsi="Calibri"/>
          <w:b/>
          <w:color w:val="4A6B25"/>
          <w:sz w:val="20"/>
        </w:rPr>
        <w:t xml:space="preserve">3. </w:t>
      </w:r>
      <w:r>
        <w:rPr>
          <w:rFonts w:ascii="Calibri" w:hAnsi="Calibri"/>
          <w:b w:val="0"/>
          <w:color w:val="3A4A28"/>
          <w:sz w:val="20"/>
        </w:rPr>
        <w:t>Successful resolution of the largest non-accrual loans (watch list assets) through refinancing or sale without additional credit losses, clearing the path to new loan origination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CRE value deterioration in office, hotel, and transitional assets leading to additional write-downs and credit losses beyond the $1.56/share GAAP loss already booked in 2025</w:t>
      </w:r>
    </w:p>
    <w:p>
      <w:pPr>
        <w:spacing w:before="40" w:after="40"/>
        <w:ind w:left="283"/>
      </w:pPr>
      <w:r>
        <w:rPr>
          <w:rFonts w:ascii="Calibri" w:hAnsi="Calibri"/>
          <w:b/>
          <w:color w:val="4A6B25"/>
          <w:sz w:val="20"/>
        </w:rPr>
        <w:t xml:space="preserve">2. </w:t>
      </w:r>
      <w:r>
        <w:rPr>
          <w:rFonts w:ascii="Calibri" w:hAnsi="Calibri"/>
          <w:b w:val="0"/>
          <w:color w:val="3A4A28"/>
          <w:sz w:val="20"/>
        </w:rPr>
        <w:t>HPS term loan at SOFR+675bps creating unsustainable interest expense that exceeds new loan origination income, preventing return to positive distributable earnings even in a recovering CRE market</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conflicts of interest — Mack Real Estate Credit Strategies manages CMTG alongside other CRE credit vehicles, creating potential for fee-motivated decisions that may not serve CMTG shareholder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 mortgage lending is a relationship- and regulatory-intensive business that AI cannot fully replace — loan origination, credit structuring, and workout processes require human judgment and borrower relationships[1]. However, CMTG's business faces existential risk from CRE market stress (office, hotel, and transitional assets under pressure) rather than AI disruption specifically. AI is gradually improving credit underwriting efficiency for competitors, which may compress CMTG's already-thin advantages. The primary risk to CMTG is credit losses and portfolio contraction, not technology disruption. Scores 5 on AI Risk Protection and 0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Claros Mortgage Trust, 'Q1 2025 Results', clarosmortgage.com, 2025</w:t>
      </w:r>
    </w:p>
    <w:p>
      <w:pPr>
        <w:spacing w:before="20" w:after="20"/>
        <w:ind w:left="170"/>
      </w:pPr>
      <w:r>
        <w:rPr>
          <w:rFonts w:ascii="Calibri" w:hAnsi="Calibri"/>
          <w:b/>
          <w:color w:val="4A6B25"/>
          <w:sz w:val="15"/>
        </w:rPr>
        <w:t xml:space="preserve">2. </w:t>
      </w:r>
      <w:r>
        <w:rPr>
          <w:rFonts w:ascii="Calibri" w:hAnsi="Calibri"/>
          <w:b w:val="0"/>
          <w:color w:val="3A4A28"/>
          <w:sz w:val="17"/>
        </w:rPr>
        <w:t>Yahoo Finance, 'Claros Mortgage Trust CMTG Earnings Transcript', 2025</w:t>
      </w:r>
    </w:p>
    <w:p>
      <w:pPr>
        <w:spacing w:before="20" w:after="20"/>
        <w:ind w:left="170"/>
      </w:pPr>
      <w:r>
        <w:rPr>
          <w:rFonts w:ascii="Calibri" w:hAnsi="Calibri"/>
          <w:b/>
          <w:color w:val="4A6B25"/>
          <w:sz w:val="15"/>
        </w:rPr>
        <w:t xml:space="preserve">3. </w:t>
      </w:r>
      <w:r>
        <w:rPr>
          <w:rFonts w:ascii="Calibri" w:hAnsi="Calibri"/>
          <w:b w:val="0"/>
          <w:color w:val="3A4A28"/>
          <w:sz w:val="17"/>
        </w:rPr>
        <w:t>AInvest, 'Claros Mortgage Trust: A Value Investor's Look at Price, Moat, and Margin of Safety', 2026</w:t>
      </w:r>
    </w:p>
    <w:p>
      <w:pPr>
        <w:spacing w:before="20" w:after="20"/>
        <w:ind w:left="170"/>
      </w:pPr>
      <w:r>
        <w:rPr>
          <w:rFonts w:ascii="Calibri" w:hAnsi="Calibri"/>
          <w:b/>
          <w:color w:val="4A6B25"/>
          <w:sz w:val="15"/>
        </w:rPr>
        <w:t xml:space="preserve">4. </w:t>
      </w:r>
      <w:r>
        <w:rPr>
          <w:rFonts w:ascii="Calibri" w:hAnsi="Calibri"/>
          <w:b w:val="0"/>
          <w:color w:val="3A4A28"/>
          <w:sz w:val="17"/>
        </w:rPr>
        <w:t>Investing.com, 'Claros mortgage trust CEO Richard Mack buys $121,059 in stock',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'Claros Mortgage Trust Statistics',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