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CCEP</w:t>
      </w:r>
      <w:r>
        <w:rPr>
          <w:rFonts w:ascii="Calibri" w:hAnsi="Calibri"/>
          <w:b/>
          <w:color w:val="1A2010"/>
          <w:sz w:val="40"/>
        </w:rPr>
        <w:t xml:space="preserve">  Coca-Cola Europacific Partners PLC</w:t>
      </w:r>
    </w:p>
    <w:p>
      <w:pPr>
        <w:spacing w:after="120"/>
      </w:pPr>
      <w:r>
        <w:rPr>
          <w:rFonts w:ascii="Calibri" w:hAnsi="Calibri"/>
          <w:b/>
          <w:color w:val="6E8450"/>
          <w:sz w:val="18"/>
        </w:rPr>
        <w:t>DIVIDEND SLEEVE · 2026-04-22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Kingdom</w:t>
      </w:r>
    </w:p>
    <w:p>
      <w:pPr>
        <w:spacing w:after="80"/>
      </w:pPr>
      <w:r>
        <w:rPr>
          <w:rFonts w:ascii="Calibri" w:hAnsi="Calibri"/>
          <w:b w:val="0"/>
          <w:color w:val="3A4A28"/>
          <w:sz w:val="20"/>
        </w:rPr>
        <w:t>Coca-Cola Europacific Partners is the world's largest Coca-Cola bottler by revenue, producing, distributing, and selling Coca-Cola branded and other non-alcoholic beverages across Western Europe, Australia, the Pacific, and Indonesia. The company serves approximately 600 million consumers across 31 countries with brands including Coca-Cola, Fanta, Sprite, Monster Energy, and Costa Coffee.</w:t>
      </w:r>
    </w:p>
    <w:p>
      <w:r>
        <w:rPr>
          <w:rFonts w:ascii="Calibri" w:hAnsi="Calibri"/>
          <w:b/>
          <w:color w:val="6E8450"/>
          <w:sz w:val="18"/>
        </w:rPr>
        <w:t>37,003 Employees · https://www.cocacolaep.com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CCEP completed the transformative acquisition of Coca-Cola Amatil in 2021, rebranding to Europacific Partners and expanding from a European bottler to a global operation spanning 31 countries — a significant strategic pivot that opened the Asia-Pacific growth vector [1]. Revenue grew from $17.3B in 2022 to $20.9B in 2025, demonstrating successful integration. AI Deployment (1/2): CCEP has deployed AI-powered analytics across procurement processes, built an internal AI academy for employee upskilling, and launched an AI-powered Career Hub for talent management across 41,000 employees — practical AI deployment with measurable operational impact [3]. Market Share (2/2): CCEP is the world's largest Coca-Cola bottler by revenue, holding dominant market share in Western European beverage distribution and growing presence in Asia-Pacific markets through the Amatil acquisition [1]. Pipeline (0/2): No specific next-generation product launches announced with defined timelines; growth is driven by volume, mix, and pricing optimization within existing categories. R&amp;D Intensity (1/1): Investment in AI analytics, digital supply chain, and sustainability-focused packaging innovation is above average for the bottling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CCEP's purpose is 'to create a better shared future' through sustainable beverages — clear and connects to something bigger, but broadly similar to other consumer goods companies and not deeply distinctive [4]. Community Impact (2/2): CCEP earned MSCI ESG Rating of AA, CDP Climate A List recognition nine consecutive years, FTSE4Good constituent for ten years, and over 25% of public float held by ESG-focused funds — demonstrating genuine, measurable environmental stewardship commitment [5]. Employee Retention (1/2): Glassdoor culture and values rating of 3.8 is slightly above average; dedicated VP of Culture and Leadership with decade-long tenure; AI-powered talent management suggests investment in employee development, but no standout retention metrics available [3]. Insider Buying (1/2): Neutral insider transaction activity; CEO Damian Gammell has significant equity exposure through his decade-long tenure since 2016, but no notable net insider buying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CCEP's financial profile is strong for a consumer staples bottler. Forward P/E of 16.7x is well below the 20x target, reflecting reasonable valuation for stable cash flow generation [6]. ROE of 22.9% comfortably exceeds the 15% target, demonstrating efficient capital allocation. D/E of 130% is manageable for the industry, reflecting acquisition-related leverage that is being systematically reduced. Revenue grew 2.3% YoY in 2025 with a 3-year CAGR of approximately 6.5% — below the 10% target but consistent with defensive sector dynamics [1]. Profit margin of 9.3% is typical for bottling but below the 20% target. Dividend metrics are strong: payout ratio of 47.9% is well-controlled, with 10+ consecutive years of payments and approximately 18.4% 5-year dividend growth CAGR driven by post-Amatil expansion [6]. 2026 guidance targets 3-4% revenue growth, 7% operating profit growth, and at least EUR 1.7B free cash flow with an additional EUR 1B buyback [1]. Liquidity floor easily cleared: 1.86M avg volume x $95.88 = $179M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CCEP demonstrates solid infinite game characteristics through its long-term sustainability commitments, the transformative Amatil acquisition that reshaped the company for decades ahead, and CEO Gammell's decade-long tenure providing strategic consistency. The partnership structure with The Coca-Cola Company creates a natural long-term orientation, though the fundamentally execution-focused bottling model limits the depth of the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CCEP's purpose of creating 'a better shared future' through sustainable beverages connects the bottling operation to broader societal impact. The nine consecutive CDP Climate A List awards and FTSE4Good constituent status for ten years demonstrate the purpose is lived out in practice [5]. Strategic decisions — including the Amatil acquisition and EUR 1B+ sustainability investments — can be traced back to this cause. However, the cause has not been tested through the kind of existential crisis that would validate its deepest form.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culture rating of 3.8 is adequate and slightly above industry average. The dedicated VP of Culture and Leadership role and investment in AI-powered talent development demonstrate organizational commitment to people [3]. CEO Gammell's decade-long tenure provides leadership stability. However, no standout evidence of exceptional psychological safety or dramatically above-average retention distinguishes CCEP from well-run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CCEP operates in a partnership model with The Coca-Cola Company where competition is framed around operational excellence rather than rivalry. Management acknowledges PepsiCo bottlers' strengths in specific markets and uses competitive benchmarking to improve distribution efficiency rather than pursuing destructive competition [1]. The focus on improving their own operations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Coca-Cola Amatil acquisition was a significant strategic evolution — transforming from a European bottler to a global Europacific operation, entering entirely new markets in Australia, New Zealand, Indonesia, and the Pacific [1]. This expanded the addressable market and diversified geographic risk. However, the core business model (bottling and distributing Coca-Cola products) remained unchanged — it was a geographic extension, not a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Amatil acquisition required significant financial commitment and integration risk, demonstrating willingness to invest for long-term positioning over short-term earnings optimization [1]. CCEP's sustained ESG investment (resulting in AA MSCI rating and CDP A List status) represents choosing long-term sustainability over near-term cost reduction. However, no examples of dramatic sacrifice — walking away from profitable but misaligned business — distinguish CCEP beyond good corporate stewardship.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Coca-Cola Europacific Partners is the world's largest Coca-Cola bottler, offering defensive consumer staples exposure with improving profitability and growing shareholder returns. 2025 revenue of $20.9B grew 2.3% with earnings surging 37% to $1.94B, reflecting successful margin expansion from the Amatil integration [1]. 2026 guidance targets 3-4% revenue growth with 7% operating profit growth, at least EUR 1.7B free cash flow, and an additional EUR 1B share buyback [1]. At 16.7x forward earnings with a 2.45% dividend yield growing at 18.4% CAGR over five years, CCEP offers an attractive total return profile for a defensive compounder. ROE of 22.9% demonstrates efficient capital allocation, and the exclusive Coca-Cola bottling agreements across 31 countries create a durable competitive moat with predictable cash flows. The MSCI AA ESG rating and CDP A List status attract ESG-focused capital (25%+ of float) [5].</w:t>
      </w:r>
    </w:p>
    <w:p>
      <w:pPr>
        <w:spacing w:after="120"/>
      </w:pPr>
      <w:r>
        <w:rPr>
          <w:rFonts w:ascii="Calibri" w:hAnsi="Calibri"/>
          <w:b w:val="0"/>
          <w:color w:val="3A4A28"/>
          <w:sz w:val="20"/>
        </w:rPr>
        <w:t>The bear case centers on low organic growth and commodity exposure. Revenue growth of 2.3% in 2025 and 3-4% guidance for 2026 falls well below the company's own midterm 7% target, suggesting consumer volume headwinds in mature European markets from health-conscious consumption trends and sugar taxes [1]. D/E of 130% reflects Amatil acquisition leverage that constrains financial flexibility and increases interest expense sensitivity. Profit margin of 9.3% is structurally limited by the bottling model's high raw material costs (sugar, PET plastic, aluminum) and energy-intensive manufacturing — input cost inflation directly compresses margins. The PEG ratio of 2.79 suggests the stock may be overvalued relative to its modest growth trajectory. Currency risk is significant with operations across 31 countries and earnings reported in euros but stock priced in dollars. The alcohol-ready-to-drink category expansion (Jack Daniel's &amp; Coca-Cola RTD) diversifies revenue but creates regulatory and brand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profit growth of 7% in 2026 outpacing 3-4% revenue growth, demonstrating continued margin expansion from Amatil integration synergies and operational efficiency gains [1]</w:t>
      </w:r>
    </w:p>
    <w:p>
      <w:pPr>
        <w:spacing w:before="40" w:after="40"/>
        <w:ind w:left="283"/>
      </w:pPr>
      <w:r>
        <w:rPr>
          <w:rFonts w:ascii="Calibri" w:hAnsi="Calibri"/>
          <w:b/>
          <w:color w:val="4A6B25"/>
          <w:sz w:val="20"/>
        </w:rPr>
        <w:t xml:space="preserve">2. </w:t>
      </w:r>
      <w:r>
        <w:rPr>
          <w:rFonts w:ascii="Calibri" w:hAnsi="Calibri"/>
          <w:b w:val="0"/>
          <w:color w:val="3A4A28"/>
          <w:sz w:val="20"/>
        </w:rPr>
        <w:t>EUR 1B share buyback program in 2026 reducing share count and boosting per-share metrics, on top of the 2.45% dividend yield with 18.4% 5-year dividend growth CAGR [1]</w:t>
      </w:r>
    </w:p>
    <w:p>
      <w:pPr>
        <w:spacing w:before="40" w:after="40"/>
        <w:ind w:left="283"/>
      </w:pPr>
      <w:r>
        <w:rPr>
          <w:rFonts w:ascii="Calibri" w:hAnsi="Calibri"/>
          <w:b/>
          <w:color w:val="4A6B25"/>
          <w:sz w:val="20"/>
        </w:rPr>
        <w:t xml:space="preserve">3. </w:t>
      </w:r>
      <w:r>
        <w:rPr>
          <w:rFonts w:ascii="Calibri" w:hAnsi="Calibri"/>
          <w:b w:val="0"/>
          <w:color w:val="3A4A28"/>
          <w:sz w:val="20"/>
        </w:rPr>
        <w:t>Asia-Pacific volume growth in Indonesia and Australia providing a higher-growth offset to mature European markets as the Amatil integration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health-conscious consumer trends and sugar taxes in European markets pressuring core carbonated soft drink volumes, with 2025 revenue growth of just 2.3% already below the midterm 7% target [1]</w:t>
      </w:r>
    </w:p>
    <w:p>
      <w:pPr>
        <w:spacing w:before="40" w:after="40"/>
        <w:ind w:left="283"/>
      </w:pPr>
      <w:r>
        <w:rPr>
          <w:rFonts w:ascii="Calibri" w:hAnsi="Calibri"/>
          <w:b/>
          <w:color w:val="4A6B25"/>
          <w:sz w:val="20"/>
        </w:rPr>
        <w:t xml:space="preserve">2. </w:t>
      </w:r>
      <w:r>
        <w:rPr>
          <w:rFonts w:ascii="Calibri" w:hAnsi="Calibri"/>
          <w:b w:val="0"/>
          <w:color w:val="3A4A28"/>
          <w:sz w:val="20"/>
        </w:rPr>
        <w:t>Raw material and energy cost inflation — sugar, PET plastic, aluminum, and energy prices directly compress the 9.3% profit margin with limited ability to pass through fully to retailers [6]</w:t>
      </w:r>
    </w:p>
    <w:p>
      <w:pPr>
        <w:spacing w:before="40" w:after="40"/>
        <w:ind w:left="283"/>
      </w:pPr>
      <w:r>
        <w:rPr>
          <w:rFonts w:ascii="Calibri" w:hAnsi="Calibri"/>
          <w:b/>
          <w:color w:val="4A6B25"/>
          <w:sz w:val="20"/>
        </w:rPr>
        <w:t xml:space="preserve">3. </w:t>
      </w:r>
      <w:r>
        <w:rPr>
          <w:rFonts w:ascii="Calibri" w:hAnsi="Calibri"/>
          <w:b w:val="0"/>
          <w:color w:val="3A4A28"/>
          <w:sz w:val="20"/>
        </w:rPr>
        <w:t>Currency translation risk across 31 countries with EUR-reported earnings and USD-priced stock creating earnings volatility from FX movements beyond management control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Beverage bottling and distribution is a physical-world logistics operation that AI structurally cannot displace — manufacturing, warehousing, and delivering billions of servings of beverages across 31 countries requires massive physical infrastructure, cold-chain logistics, local regulatory compliance, and deeply embedded retail relationships [1]. The exclusive bottling agreements with The Coca-Cola Company create contractual moats that AI cannot circumvent. Consumer beverage demand is non-discretionary and AI-immune — people will continue drinking Coca-Cola regardless of AI advances. AI may actually improve CCEP's operations through route optimization, demand forecasting, and production scheduling. AI Opportunity (1/1): CCEP generates measurable AI-driven value through AI-powered procurement analytics spanning its complete supply chain, an AI-driven talent platform for 41,000 employees, and AI-based demand forecasting systems across 31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Coca-Cola Europacific Partners FY2025 and Q4 Earnings Release — $20.9B revenue (2.3% growth), earnings up 37%, 2026 guidance: 3-4% revenue, 7% OP growth, EUR 1.7B+ FCF, EUR 1B buyback</w:t>
      </w:r>
    </w:p>
    <w:p>
      <w:pPr>
        <w:spacing w:before="20" w:after="20"/>
        <w:ind w:left="170"/>
      </w:pPr>
      <w:r>
        <w:rPr>
          <w:rFonts w:ascii="Calibri" w:hAnsi="Calibri"/>
          <w:b/>
          <w:color w:val="4A6B25"/>
          <w:sz w:val="15"/>
        </w:rPr>
        <w:t xml:space="preserve">2. </w:t>
      </w:r>
      <w:r>
        <w:rPr>
          <w:rFonts w:ascii="Calibri" w:hAnsi="Calibri"/>
          <w:b w:val="0"/>
          <w:color w:val="3A4A28"/>
          <w:sz w:val="17"/>
        </w:rPr>
        <w:t>Morningstar — 'Coca-Cola Europacific Partners Earnings: Nice Profitability Expansion in a Challenging Year,' February 2026</w:t>
      </w:r>
    </w:p>
    <w:p>
      <w:pPr>
        <w:spacing w:before="20" w:after="20"/>
        <w:ind w:left="170"/>
      </w:pPr>
      <w:r>
        <w:rPr>
          <w:rFonts w:ascii="Calibri" w:hAnsi="Calibri"/>
          <w:b/>
          <w:color w:val="4A6B25"/>
          <w:sz w:val="15"/>
        </w:rPr>
        <w:t xml:space="preserve">3. </w:t>
      </w:r>
      <w:r>
        <w:rPr>
          <w:rFonts w:ascii="Calibri" w:hAnsi="Calibri"/>
          <w:b w:val="0"/>
          <w:color w:val="3A4A28"/>
          <w:sz w:val="17"/>
        </w:rPr>
        <w:t>AI Magazine / Eightfold — CCEP AI-powered procurement analytics, internal AI academy, Career Hub for 41,000 employees across 31 countries</w:t>
      </w:r>
    </w:p>
    <w:p>
      <w:pPr>
        <w:spacing w:before="20" w:after="20"/>
        <w:ind w:left="170"/>
      </w:pPr>
      <w:r>
        <w:rPr>
          <w:rFonts w:ascii="Calibri" w:hAnsi="Calibri"/>
          <w:b/>
          <w:color w:val="4A6B25"/>
          <w:sz w:val="15"/>
        </w:rPr>
        <w:t xml:space="preserve">4. </w:t>
      </w:r>
      <w:r>
        <w:rPr>
          <w:rFonts w:ascii="Calibri" w:hAnsi="Calibri"/>
          <w:b w:val="0"/>
          <w:color w:val="3A4A28"/>
          <w:sz w:val="17"/>
        </w:rPr>
        <w:t>Coca-Cola Europacific Partners corporate website — purpose, values, and leadership team; CEO Damian Gammell since 2016</w:t>
      </w:r>
    </w:p>
    <w:p>
      <w:pPr>
        <w:spacing w:before="20" w:after="20"/>
        <w:ind w:left="170"/>
      </w:pPr>
      <w:r>
        <w:rPr>
          <w:rFonts w:ascii="Calibri" w:hAnsi="Calibri"/>
          <w:b/>
          <w:color w:val="4A6B25"/>
          <w:sz w:val="15"/>
        </w:rPr>
        <w:t xml:space="preserve">5. </w:t>
      </w:r>
      <w:r>
        <w:rPr>
          <w:rFonts w:ascii="Calibri" w:hAnsi="Calibri"/>
          <w:b w:val="0"/>
          <w:color w:val="3A4A28"/>
          <w:sz w:val="17"/>
        </w:rPr>
        <w:t>Sustainalytics, CDP, FTSE4Good — MSCI ESG Rating AA, CDP Climate A List nine consecutive years, FTSE4Good constituent ten years, 25%+ ESG fund ownership</w:t>
      </w:r>
    </w:p>
    <w:p>
      <w:pPr>
        <w:spacing w:before="20" w:after="20"/>
        <w:ind w:left="170"/>
      </w:pPr>
      <w:r>
        <w:rPr>
          <w:rFonts w:ascii="Calibri" w:hAnsi="Calibri"/>
          <w:b/>
          <w:color w:val="4A6B25"/>
          <w:sz w:val="15"/>
        </w:rPr>
        <w:t xml:space="preserve">6. </w:t>
      </w:r>
      <w:r>
        <w:rPr>
          <w:rFonts w:ascii="Calibri" w:hAnsi="Calibri"/>
          <w:b w:val="0"/>
          <w:color w:val="3A4A28"/>
          <w:sz w:val="17"/>
        </w:rPr>
        <w:t>Yahoo Finance — CCEP key statistics, forward P/E 16.66, ROE 22.89%, D/E 130%, dividend yield 2.45%,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