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CCHH</w:t>
      </w:r>
      <w:r>
        <w:rPr>
          <w:rFonts w:ascii="Calibri" w:hAnsi="Calibri"/>
          <w:b/>
          <w:color w:val="1A2010"/>
          <w:sz w:val="40"/>
        </w:rPr>
        <w:t xml:space="preserve">  CCH Holdings Ltd</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Malaysia</w:t>
      </w:r>
    </w:p>
    <w:p>
      <w:pPr>
        <w:spacing w:after="80"/>
      </w:pPr>
      <w:r>
        <w:rPr>
          <w:rFonts w:ascii="Calibri" w:hAnsi="Calibri"/>
          <w:b w:val="0"/>
          <w:color w:val="3A4A28"/>
          <w:sz w:val="20"/>
        </w:rPr>
        <w:t>CCH Holdings operates the Chicken Claypot House and Zi Wei Yuan specialty hotpot restaurant chains in Malaysia, with 32 total outlets including company-owned and franchised locations. The company is the largest chicken hotpot brand in Malaysia by outlet count.</w:t>
      </w:r>
    </w:p>
    <w:p>
      <w:r>
        <w:rPr>
          <w:rFonts w:ascii="Calibri" w:hAnsi="Calibri"/>
          <w:b/>
          <w:color w:val="6E8450"/>
          <w:sz w:val="18"/>
        </w:rPr>
        <w:t>190 Employees · https://www.chickenclaypothouse.com.my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CCH Holdings is the third largest specialty hotpot restaurant chain in Malaysia by revenue and the largest chicken hotpot brand by outlet count as of mid-2025 [1]. The company has expanded to 32 outlets across multiple brands (Chicken Claypot House, Zi Wei Yuan, Bibixian, Banbudian Bistro) with international presence in Thailand, Indonesia, and China. However, with $9M in annual revenue and a highly localized business model, innovation is limited to brand extension rather than technology-driven transformation.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Founded in Penang in 2015 by Johnny Goh, CCH Holdings has built an authentic Malaysian food brand with cultural significance in the hotpot dining segment [1]. The IPO on Nasdaq in October 2025 demonstrated ambition to access international capital markets. However, the stock's decline from $5.32 at IPO open to $0.62 represents 88% value destruction for early investors, undermining stakeholder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CCH Holdings shows solid fundamentals for a micro-cap restaurant company: 56% D/E ratio, 4.1% profit margin, and a trailing P/E of 31x [1]. Revenue grew 5% YoY to $9.1M. The company raised $5M in its IPO with proceeds earmarked for expansion. However, the $13.6M market cap and $9M revenue make this an extremely small company where any operational disruption could be material. Forward estimates are unavailable.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CCH Holdings is a newly public micro-cap restaurant company focused on growth and expansion, but its small scale, limited financial resources, and 88% stock decline since IPO suggest a finite-game orientation driven by near-term survival and expansion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Preserving and expanding Malaysian chicken hotpot cuisine has cultural value, and the company's brand recognition in Malaysia demonstrates genuine community connection [1]. However, the 'just cause' of a restaurant chain is inherently more limited than companies addressing broader societal challenges.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190 employees across 32 outlets, CCH Holdings operates at a scale where founder Johnny Goh can directly influence culture. However, rapid franchise expansion and international entry into Thailand, Indonesia, and China stretch management capacity, and the IPO stock decline may affect morale.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CCH competes with other hotpot chains (Haidilao, Xiaolongkan) and local Malaysian restaurants. As the third-largest specialty hotpot chain in Malaysia, the company is learning from larger rivals [1]. However, the competitive response strategy is primarily geographic expansion rather than operational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multi-brand strategy (Chicken Claypot House, Zi Wei Yuan, Bibixian, Banbudian Bistro) shows willingness to diversify beyond the core concept [1]. International expansion to three countries demonstrates geographic flexibility. However, all brands remain in the narrow hotpot/Chinese cuisine segment.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Listing on Nasdaq as a small Malaysian restaurant chain required significant ambition, though the IPO priced at the low end of range ($4 vs. $4-$6) and the subsequent 88% stock decline raise questions about the timing and readiness for public market scrutiny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CCH Holdings is the leading chicken hotpot brand in Malaysia with 32 outlets, a proven concept expanding internationally to Thailand, Indonesia, and China, and IPO proceeds to fund further growth [1]. At $0.62 per share with a $13.6M market cap, any successful scaling of the franchise model or brand recognition improvement could represent significant upside from a low base. The 56% D/E ratio and 4.1% profit margin demonstrate a viable business model at the unit level.</w:t>
      </w:r>
    </w:p>
    <w:p>
      <w:pPr>
        <w:spacing w:after="120"/>
      </w:pPr>
      <w:r>
        <w:rPr>
          <w:rFonts w:ascii="Calibri" w:hAnsi="Calibri"/>
          <w:b w:val="0"/>
          <w:color w:val="3A4A28"/>
          <w:sz w:val="20"/>
        </w:rPr>
        <w:t>The bear case is dominated by micro-cap risk. At $9M in annual revenue and $13.6M market cap, CCH Holdings has minimal margin for error — a single bad quarter or operational issue could be existential [1]. The stock has fallen 88% from its IPO opening price, the 31x trailing P/E is expensive for a slow-growth restaurant company, and the $5M IPO proceeds provide limited expansion capital. International expansion into Thailand, Indonesia, and China introduces currency, regulatory, and cultural adaptation risks that are extremely challenging for a company with 190 employees. Nasdaq listing costs may consume a disproportionate share of the company's modest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franchise expansion in Malaysia and international markets could accelerate revenue growth beyond the current 5% rate and demonstrate unit economics scalability [1]</w:t>
      </w:r>
    </w:p>
    <w:p>
      <w:pPr>
        <w:spacing w:before="40" w:after="40"/>
        <w:ind w:left="283"/>
      </w:pPr>
      <w:r>
        <w:rPr>
          <w:rFonts w:ascii="Calibri" w:hAnsi="Calibri"/>
          <w:b/>
          <w:color w:val="4A6B25"/>
          <w:sz w:val="20"/>
        </w:rPr>
        <w:t xml:space="preserve">2. </w:t>
      </w:r>
      <w:r>
        <w:rPr>
          <w:rFonts w:ascii="Calibri" w:hAnsi="Calibri"/>
          <w:b w:val="0"/>
          <w:color w:val="3A4A28"/>
          <w:sz w:val="20"/>
        </w:rPr>
        <w:t>Brand recognition from the Nasdaq listing could attract international franchise partners and strategic investors in Southeast Asia</w:t>
      </w:r>
    </w:p>
    <w:p>
      <w:pPr>
        <w:spacing w:before="40" w:after="40"/>
        <w:ind w:left="283"/>
      </w:pPr>
      <w:r>
        <w:rPr>
          <w:rFonts w:ascii="Calibri" w:hAnsi="Calibri"/>
          <w:b/>
          <w:color w:val="4A6B25"/>
          <w:sz w:val="20"/>
        </w:rPr>
        <w:t xml:space="preserve">3. </w:t>
      </w:r>
      <w:r>
        <w:rPr>
          <w:rFonts w:ascii="Calibri" w:hAnsi="Calibri"/>
          <w:b w:val="0"/>
          <w:color w:val="3A4A28"/>
          <w:sz w:val="20"/>
        </w:rPr>
        <w:t>Multi-brand strategy (Bibixian, Banbudian Bistro) provides optionality to capture different dining segments and price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At $13.6M market cap with $9M revenue, any operational disruption (supply chain, food safety, key personnel loss) could threaten the company's viability [1]</w:t>
      </w:r>
    </w:p>
    <w:p>
      <w:pPr>
        <w:spacing w:before="40" w:after="40"/>
        <w:ind w:left="283"/>
      </w:pPr>
      <w:r>
        <w:rPr>
          <w:rFonts w:ascii="Calibri" w:hAnsi="Calibri"/>
          <w:b/>
          <w:color w:val="4A6B25"/>
          <w:sz w:val="20"/>
        </w:rPr>
        <w:t xml:space="preserve">2. </w:t>
      </w:r>
      <w:r>
        <w:rPr>
          <w:rFonts w:ascii="Calibri" w:hAnsi="Calibri"/>
          <w:b w:val="0"/>
          <w:color w:val="3A4A28"/>
          <w:sz w:val="20"/>
        </w:rPr>
        <w:t>88% stock decline from IPO may trigger Nasdaq minimum price compliance issues if the stock falls below $1.00 for an extended period</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Thailand, Indonesia, and China introduces significant execution risk for a 190-employee company with limited management bandwidth and cultural adaptation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restaurant industry faces limited direct AI disruption risk as dining remains an experiential, in-person activity. AI could enhance CCH Holdings' operations through demand forecasting, inventory management, and digital ordering, but these benefits are incremental for a 32-outlet chain. The company's reliance on in-person dining and local food culture provides natural insulation from technology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CCH Holdings IPO Filing, Nasdaq Listing, and Company Profile — Renaissance Capital, October 2025</w:t>
      </w:r>
    </w:p>
    <w:p>
      <w:pPr>
        <w:spacing w:before="20" w:after="20"/>
        <w:ind w:left="170"/>
      </w:pPr>
      <w:r>
        <w:rPr>
          <w:rFonts w:ascii="Calibri" w:hAnsi="Calibri"/>
          <w:b/>
          <w:color w:val="4A6B25"/>
          <w:sz w:val="15"/>
        </w:rPr>
        <w:t xml:space="preserve">2. </w:t>
      </w:r>
      <w:r>
        <w:rPr>
          <w:rFonts w:ascii="Calibri" w:hAnsi="Calibri"/>
          <w:b w:val="0"/>
          <w:color w:val="3A4A28"/>
          <w:sz w:val="17"/>
        </w:rPr>
        <w:t>Yahoo Finance — CCHH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CCH Holdings Investor Relations — chickenclaypothouse.com.my,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