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CCJ</w:t>
      </w:r>
      <w:r>
        <w:rPr>
          <w:rFonts w:ascii="Calibri" w:hAnsi="Calibri"/>
          <w:b/>
          <w:color w:val="1A2010"/>
          <w:sz w:val="40"/>
        </w:rPr>
        <w:t xml:space="preserve">  Cameco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Uranium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Cameco is one of the world's largest uranium producers, accounting for approximately 15% of global output. The company operates across the full nuclear fuel cycle through three segments: Uranium (mining and milling), Fuel Services (refining and conversion), and Westinghouse (reactor technology and plant services). Cameco is headquartered in Saskatoon, Canada and serves nuclear utilities globally.</w:t>
      </w:r>
    </w:p>
    <w:p>
      <w:r>
        <w:rPr>
          <w:rFonts w:ascii="Calibri" w:hAnsi="Calibri"/>
          <w:b/>
          <w:color w:val="6E8450"/>
          <w:sz w:val="18"/>
        </w:rPr>
        <w:t>3,000 Employees · https://www.cameco.com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Cameco completed the transformative acquisition of a 49% stake in Westinghouse in late 2023 (with Brookfield), fundamentally expanding from uranium mining into reactor technology, plant services, and fuel fabrication [1][2]. This was a major strategic pivot that repositioned Cameco as a full-cycle nuclear company. AI Deployment (0/2): No evidence of AI-powered products or quantified AI-driven operational savings; Cameco's operations are primarily physical mining and industrial services [2]. Market Share (2/2): Cameco accounts for ~15% of global uranium production and through Westinghouse controls approximately half of the world's reactor technology installed base, making it the dominant Western nuclear services provider [1][2]. Pipeline (1/2): The $80B+ U.S. government partnership with Brookfield and Westinghouse to accelerate nuclear deployment provides exceptional long-term pipeline visibility, though timelines are measured in decades [1]. R&amp;D Intensity (1/1): Westinghouse invests in next-generation reactor technologies including AP1000 and small modular reactors, above industry average for the nuclear fuel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Cameco's purpose — 'energizing a clean-air world' through safe, carbon-free nuclear power — is specific, differentiated, and connects uranium production to a larger climate and energy access mission [3]. CEO Tim Gitzel's 14-year tenure has consistently reinforced this purpose through strategic decisions including the Westinghouse acquisition and advocacy for nuclear's role in decarbonization. Community Impact (2/2): Cameco has a well-documented history of collaborative partnerships with Indigenous communities near its Saskatchewan mining operations, including employment programs, business contracts, and community investment aligned with resource-sharing principles [3]. The company integrates community impact into executive compensation. Employee Retention (1/2): Long-tenured leadership team with orderly succession planning (Gitzel 14 years, Grant Isaac promoted to President/COO from CFO) suggests organizational stability, though specific turnover data is not publicly available [2]. Insider Buying (0/2): No evidence of significant net insider buying identified in recent filings.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Cameco's balance sheet is exceptionally clean with D/E of just 14.7%, $1.21B cash against $1.01B debt (net cash of $201M), and $480M in free cash flow [4]. Profit margin of 16.9% and ROE of 8.9% are solid but below excellence thresholds, partially reflecting the capital-intensive nature of uranium mining and Westinghouse integration costs [1]. Revenue of $3.48B CAD grew modestly at 1.5% YoY in 2025, though the 3-year CAGR from 2022-2025 is 23% reflecting the Westinghouse contribution and rising uranium prices [1]. Forward P/E of 60.9x is at the floor of the scoring range, reflecting the market's premium valuation on the nuclear renaissance thesis. Consensus expects 52% EPS growth in 2026 as Westinghouse synergies materialize [1]. Liquidity floor easily cleared: 4.3M avg volume x $111.13 = $472M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Cameco exemplifies infinite game thinking — a uranium company that endured a decade-long nuclear winter (post-Fukushima 2011-2020), maintained production capacity when competitors shut mines, and emerged positioned for a structural nuclear renaissance. The Westinghouse acquisition and $80B government partnership reflect strategic patience measured in decades, not quarters.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Cameco's Just Cause — providing the fuel for safe, carbon-free nuclear energy that powers civilization — is validated by decades of consistent execution through the most hostile environment the nuclear industry has faced [2][3]. CEO Gitzel held to this cause through Fukushima, commodity price collapse, and years of investor skepticism. The Westinghouse acquisition was driven by conviction that nuclear's future requires integrated fuel-cycle capability, not desperation. This purpose shapes every strategic decision and has survived multiple crises. Score: 3/3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Cameco's leadership team demonstrates exceptional stability and trust. Tim Gitzel served as CEO for 14 years, Grant Isaac was promoted from CFO to President/COO in a planned succession, and retiring executives Brian Reilly and Sean Quinn transitioned into advisory roles — indicating an organization where leaders stay, grow, and pass the torch deliberately [2]. Safety performance is integrated into executive compensation, signaling that the company values its people's wellbeing as a core metric. Score: 2/2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Cameco acknowledges Kazatomprom's low-cost production advantage and uses it as motivation to focus on reliability, Western supply chain security, and vertical integration rather than competing on cost alone [1]. The partnership with Brookfield on Westinghouse reflects collaborative rather than combative competitive strategy. Score: 1/1 weighted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Westinghouse acquisition fundamentally transformed Cameco from a uranium miner into a full-cycle nuclear services company spanning mining, fuel fabrication, reactor technology, and plant services [1]. This was a bold $7.9B strategic bet. However, it was an extension of the nuclear thesis rather than an industry pivot — Cameco doubled down on its existing domain rather than reinventing itself into something new. Score: 1/2 weighted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Cameco demonstrated remarkable courage by maintaining its production capacity and workforce through the post-Fukushima uranium price collapse when competitors were shutting mines and exiting the industry [2]. The company accepted years of depressed earnings rather than destroying long-term capability. The Westinghouse acquisition during a period of nuclear skepticism required conviction over consensus. Score: 1/2 weighted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Cameco is the Western world's premier full-cycle nuclear company, uniquely positioned to benefit from a structural nuclear renaissance driven by AI data center electricity demand, energy security concerns, and decarbonization mandates. The $80B+ Westinghouse-Brookfield-U.S. government partnership provides decades of reactor construction visibility, while Cameco's 15% share of global uranium production benefits from a tightening supply-demand balance with 3.1 billion pounds of uranium demand uncontracted through 2045 [1][2]. FY2025 revenue of $3.48B CAD with $480M FCF and a fortress balance sheet ($1.21B cash, 14.7% D/E) provide financial durability. Consensus expects 52% EPS growth in 2026 as Westinghouse synergies and rising uranium prices flow through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extreme valuation and execution risk. At 60.9x forward earnings and 114.6x trailing P/E, Cameco is priced for a nuclear renaissance that must actually materialize over the next decade [4]. The Westinghouse integration adds complexity — the resignation of Westinghouse's President and CEO creates leadership uncertainty at a critical subsidiary [2]. Revenue grew only 1.5% YoY in 2025, and 2026 guidance of CAD $3.13-3.37B implies potential revenue decline, suggesting the uranium price cycle may be plateauing near term [1]. Geopolitical risk is significant: Russian enrichment sanctions, Kazakhstan production uncertainties, and trade war tariffs could disrupt uranium supply chains in unpredictable ways. New reactor construction timelines are measured in decades, creating a long duration between investment thesis and cash flow realization. Uranium price volatility could compress margins if spot prices correct from current elevated levels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Westinghouse-Brookfield-U.S. government $80B+ nuclear deployment partnership providing multi-decade reactor construction pipeline tied to AI data center power demand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Consensus 52% EPS growth in 2026 as Westinghouse synergies materialize and uranium contract repricing at higher market rates flows through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uranium supply deficit — 3.1B pounds of demand uncontracted through 2045 with limited new mine development globally, supporting sustained higher prices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valuation — 60.9x forward P/E requires sustained multi-year earnings growth to justify, with limited margin of safety if the nuclear renaissance timeline slips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Westinghouse execution risk — leadership changes at the subsidiary and the complexity of integrating reactor technology with mining operations create operational uncertainty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Uranium price cyclicality — spot prices could correct from elevated levels if reactor construction timelines extend or geopolitical supply disruptions resolve, compressing Cameco's margins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Cameco's business is structurally immune to AI disruption — uranium mining, fuel processing, and nuclear reactor services are physical-world operations that AI cannot substitute [2]. More critically, AI is a direct demand driver for Cameco's products: AI data centers are driving a massive surge in electricity demand (projected to consume 6.7-12% of U.S. electricity within three years), and nuclear power is increasingly recognized as the only scalable, carbon-free baseload source to meet this demand [1][2]. The $80B Westinghouse-Brookfield-U.S. government partnership explicitly positions nuclear deployment as essential to maintaining AI leadership. Cameco's 15% share of global uranium production makes it a direct beneficiary of every new reactor built. AI Opportunity (1/1): The Westinghouse partnership generates quantifiable revenue from AI-driven nuclear demand, with new reactor construction directly tied to data center power requirements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Cameco Q4 2025 Earnings Release and FY2026 Guidance — $3.48B CAD revenue, $0.36 EPS beat, 52% consensus growth for 2026, February 13,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Cameco Corporate Communications — Westinghouse-Brookfield-U.S. Government $80B partnership, CEO succession, leadership changes,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Cameco Sustainability Report and ESG Reporting — Indigenous community partnerships, environmental management, governance framework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CCJ (Cameco),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