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CCK</w:t>
      </w:r>
      <w:r>
        <w:rPr>
          <w:rFonts w:ascii="Calibri" w:hAnsi="Calibri"/>
          <w:b/>
          <w:color w:val="1A2010"/>
          <w:sz w:val="40"/>
        </w:rPr>
        <w:t xml:space="preserve">  Crown Holdings, Inc.</w:t>
      </w:r>
    </w:p>
    <w:p>
      <w:pPr>
        <w:spacing w:after="120"/>
      </w:pPr>
      <w:r>
        <w:rPr>
          <w:rFonts w:ascii="Calibri" w:hAnsi="Calibri"/>
          <w:b/>
          <w:color w:val="6E8450"/>
          <w:sz w:val="18"/>
        </w:rPr>
        <w:t>GROWTH SLEEVE · 2026-05-02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Crown Holdings, Inc. engages in the packaging business in the United States and internationally. It operates through Americas Beverage, European Beverage, Asia Pacific, and Transit Packaging segments, manufacturing recyclable aluminum beverage cans, food cans, aerosol cans, and transit packaging products.</w:t>
      </w:r>
    </w:p>
    <w:p>
      <w:r>
        <w:rPr>
          <w:rFonts w:ascii="Calibri" w:hAnsi="Calibri"/>
          <w:b/>
          <w:color w:val="6E8450"/>
          <w:sz w:val="18"/>
        </w:rPr>
        <w:t>23,000 Employees · https://www.crowncork.com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Crown Holdings drives innovation through lightweight can technology, sustainable coatings, and recyclable packaging solutions across its global technology centers [1][2]. The company holds leading market share in beverage cans globally with 5% volume growth in Q1 2026, supported by expansion in Europe and Asia Pacific [1]. However, as a packaging company, its innovation is incremental rather than market-creating — product differentiation is limited in a commodity-adjacent business. R&amp;D intensity is moderate, focused on material efficiency and new can formats.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3.2/5 for work-life balance and 3.5 for culture suggest a functional but uninspiring workplace; employees praise benefits and salary but criticize 'top-down management style' and lack of appreciation from upper management [2]. CEO Tim Donahue provides stable leadership with a clear focus on operational execution and shareholder returns. The sustainability mission around infinitely recyclable aluminum resonates externally but internal culture reviews suggest execution-focused rather than purpose-driven management.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financial execution: Q1 2026 revenue of $3.26B (up 13% YoY, beating consensus by $180M), adjusted EPS of $1.86 (+11% YoY), and full-year guidance of $7.90-$8.30 EPS reaffirmed [1]. ROE of 26.2% is excellent for a capital-intensive manufacturer, though D/E of 183% is elevated. Forward PE of 11.3 with PEG of 0.64 signals undervaluation relative to growth. Expected adjusted FCF of ~$900M on $550M capex provides strong cash generation. Dividend yield of 1.2% is modest but growing (35% increase in March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Crown Holdings plays a moderately infinite game — its commitment to infinitely recyclable aluminum packaging provides a durable value proposition, but operational culture and top-down management style suggest finite-game execution mentality.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sustainability positioning around infinitely recyclable aluminum packaging aligns with global circular economy trends and provides a genuine long-term cause beyond quarterly earnings [3]. Crown's Twentyby30 sustainability program sets measurable targets across emissions, water, and waste, demonstrating commitment to environmental stewardship.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3.5 for culture and values reflect adequate but unexceptional team dynamics [2]. Employee feedback cites good benefits but 'too much corporate leadership' and 'no respect from upper management,' suggesting hierarchical culture that may limit psychological safety and innovation from the bottom up.</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Crown competes effectively against Ball Corporation, Ardagh Group, and regional players, maintaining #1 or #2 market positions globally in beverage cans [1]. The company benchmarks rivals constructively, investing in capacity expansion in high-growth regions where competitors are also building. Market share gains in Asia Pacific demonstrate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Crown has demonstrated flexibility by divesting lower-growth segments (food cans, European tinplate) to focus on beverage cans and transit packaging, and by expanding aggressively into Asia Pacific growth markets [1]. The recent COO appointment signals organizational evolution. However, deep commitment to aluminum packaging limits optionality if materials science shifts favor alternatives.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shown courage in maintaining significant capital investment ($550M annually) to expand capacity ahead of demand, and the 35% dividend increase in early 2026 signals confidence in sustainable cash generation [1]. The company leads the industry in sustainability commitments with measurable Twentyby30 targets rather than vague pledges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Crown Holdings delivers compelling value at a forward PE of 11.3x and PEG of 0.64, supported by Q1 2026 revenue growth of 13% YoY, beverage volume gains of 5%, and reaffirmed EPS guidance of $7.90-$8.30. The company generates ~$900M in adjusted FCF with strong ROE of 26%, and its Inspire score of 60 (ALIGNED) reflects excellent ESG positioning across 15 positive categories.</w:t>
      </w:r>
    </w:p>
    <w:p>
      <w:pPr>
        <w:spacing w:after="120"/>
      </w:pPr>
      <w:r>
        <w:rPr>
          <w:rFonts w:ascii="Calibri" w:hAnsi="Calibri"/>
          <w:b w:val="0"/>
          <w:color w:val="3A4A28"/>
          <w:sz w:val="20"/>
        </w:rPr>
        <w:t>Risks center on elevated leverage (D/E 183%), commodity cost pass-through dynamics, and cyclical beverage demand sensitivity. The top-down management culture and modest profit margin (5.7%) constrain upside potential. Crown is a well-run industrial compounder offering reasonable value with sustainability tailwinds from aluminum recyclability trends, but lacks the growth premium to justify a higher 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beverage can volume growth of 5% in Q1 2026 accelerating from capacity expansions in Europe and Asia Pacific</w:t>
      </w:r>
    </w:p>
    <w:p>
      <w:pPr>
        <w:spacing w:before="40" w:after="40"/>
        <w:ind w:left="283"/>
      </w:pPr>
      <w:r>
        <w:rPr>
          <w:rFonts w:ascii="Calibri" w:hAnsi="Calibri"/>
          <w:b/>
          <w:color w:val="4A6B25"/>
          <w:sz w:val="20"/>
        </w:rPr>
        <w:t xml:space="preserve">2. </w:t>
      </w:r>
      <w:r>
        <w:rPr>
          <w:rFonts w:ascii="Calibri" w:hAnsi="Calibri"/>
          <w:b w:val="0"/>
          <w:color w:val="3A4A28"/>
          <w:sz w:val="20"/>
        </w:rPr>
        <w:t>Forward PE of 11.3x with PEG of 0.64 suggests significant undervaluation if earnings growth sustains at 11%+ pace</w:t>
      </w:r>
    </w:p>
    <w:p>
      <w:pPr>
        <w:spacing w:before="40" w:after="40"/>
        <w:ind w:left="283"/>
      </w:pPr>
      <w:r>
        <w:rPr>
          <w:rFonts w:ascii="Calibri" w:hAnsi="Calibri"/>
          <w:b/>
          <w:color w:val="4A6B25"/>
          <w:sz w:val="20"/>
        </w:rPr>
        <w:t xml:space="preserve">3. </w:t>
      </w:r>
      <w:r>
        <w:rPr>
          <w:rFonts w:ascii="Calibri" w:hAnsi="Calibri"/>
          <w:b w:val="0"/>
          <w:color w:val="3A4A28"/>
          <w:sz w:val="20"/>
        </w:rPr>
        <w:t>35% dividend increase in March 2026 and $900M FCF generation signal capital return acceleration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debt-to-equity of 183% creates interest rate sensitivity and limits financial flexibility during downturns</w:t>
      </w:r>
    </w:p>
    <w:p>
      <w:pPr>
        <w:spacing w:before="40" w:after="40"/>
        <w:ind w:left="283"/>
      </w:pPr>
      <w:r>
        <w:rPr>
          <w:rFonts w:ascii="Calibri" w:hAnsi="Calibri"/>
          <w:b/>
          <w:color w:val="4A6B25"/>
          <w:sz w:val="20"/>
        </w:rPr>
        <w:t xml:space="preserve">2. </w:t>
      </w:r>
      <w:r>
        <w:rPr>
          <w:rFonts w:ascii="Calibri" w:hAnsi="Calibri"/>
          <w:b w:val="0"/>
          <w:color w:val="3A4A28"/>
          <w:sz w:val="20"/>
        </w:rPr>
        <w:t>Commodity cost pass-through model means revenue growth can overstate underlying volume trends; aluminum price spikes compress margins</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consumer beverage demand — recession would compress volumes in Americas and European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Packaging manufacturing faces low direct AI disruption risk — physical can production requires capital-intensive facilities that cannot be digitally displaced [2]. AI enhances operational efficiency through predictive maintenance, quality control vision systems, and supply chain optimization, but it is not a transformational growth driver. The primary AI risk is indirect: if AI-driven innovation accelerates alternative packaging formats (smart packaging, biodegradable materials), Crown's aluminum-centric model could face substitution pressure long-term.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Crown Holdings Q1 2026 Earnings Release — Revenue $3.26B (+13% YoY), adj. EPS $1.86 (+11%), FY2026 guidance $7.90-$8.30, April 2026</w:t>
      </w:r>
    </w:p>
    <w:p>
      <w:pPr>
        <w:spacing w:before="20" w:after="20"/>
        <w:ind w:left="170"/>
      </w:pPr>
      <w:r>
        <w:rPr>
          <w:rFonts w:ascii="Calibri" w:hAnsi="Calibri"/>
          <w:b/>
          <w:color w:val="4A6B25"/>
          <w:sz w:val="15"/>
        </w:rPr>
        <w:t xml:space="preserve">2. </w:t>
      </w:r>
      <w:r>
        <w:rPr>
          <w:rFonts w:ascii="Calibri" w:hAnsi="Calibri"/>
          <w:b w:val="0"/>
          <w:color w:val="3A4A28"/>
          <w:sz w:val="17"/>
        </w:rPr>
        <w:t>Crown Holdings Glassdoor Reviews — 3.5/5 culture rating; Packaging Dive — COO appointment July 2025; Leadership innovation focus</w:t>
      </w:r>
    </w:p>
    <w:p>
      <w:pPr>
        <w:spacing w:before="20" w:after="20"/>
        <w:ind w:left="170"/>
      </w:pPr>
      <w:r>
        <w:rPr>
          <w:rFonts w:ascii="Calibri" w:hAnsi="Calibri"/>
          <w:b/>
          <w:color w:val="4A6B25"/>
          <w:sz w:val="15"/>
        </w:rPr>
        <w:t xml:space="preserve">3. </w:t>
      </w:r>
      <w:r>
        <w:rPr>
          <w:rFonts w:ascii="Calibri" w:hAnsi="Calibri"/>
          <w:b w:val="0"/>
          <w:color w:val="3A4A28"/>
          <w:sz w:val="17"/>
        </w:rPr>
        <w:t>Crown Holdings Sustainability Report — Twentyby30 program targets; Sustainalytics ESG Rating: Strong management of material risks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