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CCL</w:t>
      </w:r>
      <w:r>
        <w:rPr>
          <w:rFonts w:ascii="Calibri" w:hAnsi="Calibri"/>
          <w:b/>
          <w:color w:val="1A2010"/>
          <w:sz w:val="40"/>
        </w:rPr>
        <w:t xml:space="preserve">  Carnival Corporation</w:t>
      </w:r>
    </w:p>
    <w:p>
      <w:pPr>
        <w:spacing w:after="120"/>
      </w:pPr>
      <w:r>
        <w:rPr>
          <w:rFonts w:ascii="Calibri" w:hAnsi="Calibri"/>
          <w:b/>
          <w:color w:val="6E8450"/>
          <w:sz w:val="18"/>
        </w:rPr>
        <w:t>GROWTH SLEEVE · 2026-03-23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Carnival Corporation is the world's largest cruise company, operating nine brands including Carnival Cruise Line, Princess Cruises, Holland America Line, and Costa Cruises. The company operates over 90 ships carrying approximately 14 million guests annually, and delivered record revenue of $26.6 billion in 2025.</w:t>
      </w:r>
    </w:p>
    <w:p>
      <w:r>
        <w:rPr>
          <w:rFonts w:ascii="Calibri" w:hAnsi="Calibri"/>
          <w:b/>
          <w:color w:val="6E8450"/>
          <w:sz w:val="18"/>
        </w:rPr>
        <w:t>160,000 Employees · https://www.carnivalcorp.com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Carnival's post-pandemic recovery has been operationally impressive, achieving record revenue and net yields, but the core business model of cruise vacations has not fundamentally evolved in decades [1]. New ship launches and loyalty program enhancements are incremental improvements. AI Deployment (0/2): No evidence of AI deployment generating measurable revenue or cost savings in Carnival's operations [1]. Market Share (2/2): Carnival is the world's largest cruise operator with 160,000 employees, record booking volumes for 2026-2027, and growing Asia recovery — dominant share in a concentrated market [1]. Pipeline (1/2): New ship deliveries and Asia route expansion provide some pipeline visibility, and record 2026-2027 booking volumes demonstrate demand, but no specific innovation-driven products are named [1]. R&amp;D Intensity (0/1): Cruise lines have minimal R&amp;D spend relative to revenue; innovation is primarily in ship design and guest experience rather than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Carnival's mission of delivering 'unforgettable happiness' to guests is clear and genuine for a hospitality company but not deeply purposeful beyond consumer entertainment [1]. Community Impact (1/2): Carnival employs 160,000 people globally and contributes significantly to port-city economies, representing meaningful community impact through employment and tourism [1]. Employee Retention (1/2): Operating a global fleet requires strong team retention, and record operational performance suggests effective crew management, though specific retention data for cruise industry workers was not found [1]. Insider Buying (1/2): CEO Josh Weinstein's equity compensation and alignment through performance targets demonstrate stake, and the company reinstated its dividend at $0.60/share showing confidence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Carnival's infrastructure reflects a company recovering from pandemic devastation. ROE of 25.6% and profit margin of 10.4% demonstrate recovered earnings power [6]. D/E of 227.9% remains extremely elevated — the company still carries pandemic-era debt despite reducing it by $10B+ from peak [1]. Forward P/E of 8.7x is attractive, and trailing P/E of 11.9x reflects growing profitability. Revenue growth of 6.6% YoY on record $26.6B is moderate for a growth-valued stock. Free cash flow of $1.55B enables continued deleveraging. Net debt-to-EBITDA of 3.4x has reached investment-grade territory [1]. Liquidity floor is easily cleared: 22.6M avg vol x $24.12 = $545M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Carnival survived the existential threat of the pandemic and has emerged stronger, with record revenue and bookings suggesting a durable business model. The company's focus on debt reduction, loyalty programs, and long-term booking strategies shows patience. However, the cruise industry's environmental impact and massive debt burden create finite-game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Carnival's cause of creating 'unforgettable happiness' through cruise vacations is genuine and resonates with millions of guests annually [1]. However, the cause is commercial entertainment rather than transformative purpose, and the environmental impact of cruise operations (emissions, waste, marine impact) creates tension with broader stakeholder values.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 fleet of 90+ ships with 160,000 employees globally requires extraordinary team coordination and trust [1]. Record operational performance and net yields in 2025 demonstrate effective execution across a complex global operation. The multinational crew model creates cultural diversity but also labor management challenges.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 competes with Royal Caribbean and Norwegian Cruise Line Holdings, and the industry is experiencing 14% non-Carnival capacity growth in the Caribbean for 2026 [1]. Record booking volumes despite this capacity growth suggest Carnival is maintaining competitiveness through yield management and brand loyalty.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Carnival demonstrated ultimate existential flexibility by surviving the complete pandemic shutdown of cruise operations, raising capital to avoid bankruptcy, and rebuilding to record revenue in under three years [1]. The company's debt reduction of $10B+ from peak and Asia route recovery show continued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Reinstating the dividend at $0.60/share while still carrying $33B+ in debt shows confidence in the recovery trajectory [1]. The decision to project 12% adjusted net income growth in 2026 on less than 1% capacity growth demonstrates commitment to yield over volume, a disciplined long-term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Carnival delivered record 2025 results — $26.6B revenue, $3.1B adjusted net income (up 60%), and record net yields — while reducing debt by $10B+ from pandemic peak to a 3.4x net leverage ratio [1]. The company projects 12% adjusted net income growth in 2026 on less than 1% capacity growth, demonstrating operational leverage and pricing power. Record 2026-2027 booking volumes, Asia recovery, and ROIC expected to exceed 13.5% support the thesis. At forward P/E of 8.7x with the dividend reinstated at $0.60/share, Carnival offers value with improving fundamentals [1].</w:t>
      </w:r>
    </w:p>
    <w:p>
      <w:pPr>
        <w:spacing w:after="120"/>
      </w:pPr>
      <w:r>
        <w:rPr>
          <w:rFonts w:ascii="Calibri" w:hAnsi="Calibri"/>
          <w:b w:val="0"/>
          <w:color w:val="3A4A28"/>
          <w:sz w:val="20"/>
        </w:rPr>
        <w:t>The bear case is the legacy debt burden: D/E of 228% remains dangerous, and any demand shock (recession, pandemic, geopolitical event) could reignite financial stress [6]. Cruise costs are rising 3.25% in 2026, and 14% non-Carnival Caribbean capacity growth could pressure yields despite record bookings [1]. The cruise industry faces increasing environmental regulation and scrutiny of emissions, waste disposal, and marine impact. The stock is down from $29.45 (50-day SMA) to $24.12, a 18% decline suggesting near-term momentum is negative. Reinstatement of the dividend while carrying $33B+ debt prioritizes shareholder returns over balance sheet repair.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2026-2027 booking volumes supporting 2.5% net yield growth guidance and 12% adjusted net income increase</w:t>
      </w:r>
    </w:p>
    <w:p>
      <w:pPr>
        <w:spacing w:before="40" w:after="40"/>
        <w:ind w:left="283"/>
      </w:pPr>
      <w:r>
        <w:rPr>
          <w:rFonts w:ascii="Calibri" w:hAnsi="Calibri"/>
          <w:b/>
          <w:color w:val="4A6B25"/>
          <w:sz w:val="20"/>
        </w:rPr>
        <w:t xml:space="preserve">2. </w:t>
      </w:r>
      <w:r>
        <w:rPr>
          <w:rFonts w:ascii="Calibri" w:hAnsi="Calibri"/>
          <w:b w:val="0"/>
          <w:color w:val="3A4A28"/>
          <w:sz w:val="20"/>
        </w:rPr>
        <w:t>Asia route recovery driving incremental revenue from a market that was depressed post-pandemic</w:t>
      </w:r>
    </w:p>
    <w:p>
      <w:pPr>
        <w:spacing w:before="40" w:after="40"/>
        <w:ind w:left="283"/>
      </w:pPr>
      <w:r>
        <w:rPr>
          <w:rFonts w:ascii="Calibri" w:hAnsi="Calibri"/>
          <w:b/>
          <w:color w:val="4A6B25"/>
          <w:sz w:val="20"/>
        </w:rPr>
        <w:t xml:space="preserve">3. </w:t>
      </w:r>
      <w:r>
        <w:rPr>
          <w:rFonts w:ascii="Calibri" w:hAnsi="Calibri"/>
          <w:b w:val="0"/>
          <w:color w:val="3A4A28"/>
          <w:sz w:val="20"/>
        </w:rPr>
        <w:t>Continued debt reduction trajectory toward investment-grade credit rating, potentially unlocking lower borrowing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228% with $33B+ total debt creates vulnerability to demand shocks from recession, pandemic, or geopolitical events</w:t>
      </w:r>
    </w:p>
    <w:p>
      <w:pPr>
        <w:spacing w:before="40" w:after="40"/>
        <w:ind w:left="283"/>
      </w:pPr>
      <w:r>
        <w:rPr>
          <w:rFonts w:ascii="Calibri" w:hAnsi="Calibri"/>
          <w:b/>
          <w:color w:val="4A6B25"/>
          <w:sz w:val="20"/>
        </w:rPr>
        <w:t xml:space="preserve">2. </w:t>
      </w:r>
      <w:r>
        <w:rPr>
          <w:rFonts w:ascii="Calibri" w:hAnsi="Calibri"/>
          <w:b w:val="0"/>
          <w:color w:val="3A4A28"/>
          <w:sz w:val="20"/>
        </w:rPr>
        <w:t>14% non-Carnival Caribbean capacity growth in 2026 could pressure yields and load factors despite record bookings</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regulation risk as cruise industry faces increasing scrutiny of emissions, waste, and marine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Cruise vacations are a physical-world experience involving ships, ports, dining, entertainment, and human hospitality that AI structurally cannot replicate or substitute [1]. The cruise industry is immune to AI disruption — no AI product can replace the experience of a Caribbean cruise. AI may enhance booking personalization and onboard operations but does not threaten the core business model. AI Opportunity (0/1): Carnival does not generate AI-related revenue, and no specific AI-driven products or services have been announced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Carnival Corporation Q4 2025 Earnings Release and 2026 Outlook</w:t>
      </w:r>
    </w:p>
    <w:p>
      <w:pPr>
        <w:spacing w:before="20" w:after="20"/>
        <w:ind w:left="170"/>
      </w:pPr>
      <w:r>
        <w:rPr>
          <w:rFonts w:ascii="Calibri" w:hAnsi="Calibri"/>
          <w:b/>
          <w:color w:val="4A6B25"/>
          <w:sz w:val="15"/>
        </w:rPr>
        <w:t xml:space="preserve">2. </w:t>
      </w:r>
      <w:r>
        <w:rPr>
          <w:rFonts w:ascii="Calibri" w:hAnsi="Calibri"/>
          <w:b w:val="0"/>
          <w:color w:val="3A4A28"/>
          <w:sz w:val="17"/>
        </w:rPr>
        <w:t>Carnival Corporation 2026 booking trends and financial forecast, March 2026</w:t>
      </w:r>
    </w:p>
    <w:p>
      <w:pPr>
        <w:spacing w:before="20" w:after="20"/>
        <w:ind w:left="170"/>
      </w:pPr>
      <w:r>
        <w:rPr>
          <w:rFonts w:ascii="Calibri" w:hAnsi="Calibri"/>
          <w:b/>
          <w:color w:val="4A6B25"/>
          <w:sz w:val="15"/>
        </w:rPr>
        <w:t xml:space="preserve">3. </w:t>
      </w:r>
      <w:r>
        <w:rPr>
          <w:rFonts w:ascii="Calibri" w:hAnsi="Calibri"/>
          <w:b w:val="0"/>
          <w:color w:val="3A4A28"/>
          <w:sz w:val="17"/>
        </w:rPr>
        <w:t>Carnival Corporation investor relations — debt reduction and dividend reinstatement</w:t>
      </w:r>
    </w:p>
    <w:p>
      <w:pPr>
        <w:spacing w:before="20" w:after="20"/>
        <w:ind w:left="170"/>
      </w:pPr>
      <w:r>
        <w:rPr>
          <w:rFonts w:ascii="Calibri" w:hAnsi="Calibri"/>
          <w:b/>
          <w:color w:val="4A6B25"/>
          <w:sz w:val="15"/>
        </w:rPr>
        <w:t xml:space="preserve">4. </w:t>
      </w:r>
      <w:r>
        <w:rPr>
          <w:rFonts w:ascii="Calibri" w:hAnsi="Calibri"/>
          <w:b w:val="0"/>
          <w:color w:val="3A4A28"/>
          <w:sz w:val="17"/>
        </w:rPr>
        <w:t>GurufocUs — Carnival 2026 financial outlook analysis</w:t>
      </w:r>
    </w:p>
    <w:p>
      <w:pPr>
        <w:spacing w:before="20" w:after="20"/>
        <w:ind w:left="170"/>
      </w:pPr>
      <w:r>
        <w:rPr>
          <w:rFonts w:ascii="Calibri" w:hAnsi="Calibri"/>
          <w:b/>
          <w:color w:val="4A6B25"/>
          <w:sz w:val="15"/>
        </w:rPr>
        <w:t xml:space="preserve">5. </w:t>
      </w:r>
      <w:r>
        <w:rPr>
          <w:rFonts w:ascii="Calibri" w:hAnsi="Calibri"/>
          <w:b w:val="0"/>
          <w:color w:val="3A4A28"/>
          <w:sz w:val="17"/>
        </w:rPr>
        <w:t>MEXC — Carnival cruise business model analysis,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CCL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