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CCOI</w:t>
      </w:r>
      <w:r>
        <w:rPr>
          <w:rFonts w:ascii="Calibri" w:hAnsi="Calibri"/>
          <w:b/>
          <w:color w:val="1A2010"/>
          <w:sz w:val="40"/>
        </w:rPr>
        <w:t xml:space="preserve">  Cogent Communications Holdings, Inc.</w:t>
      </w:r>
    </w:p>
    <w:p>
      <w:pPr>
        <w:spacing w:after="120"/>
      </w:pPr>
      <w:r>
        <w:rPr>
          <w:rFonts w:ascii="Calibri" w:hAnsi="Calibri"/>
          <w:b/>
          <w:color w:val="6E8450"/>
          <w:sz w:val="18"/>
        </w:rPr>
        <w:t>GROWTH SLEEVE · 2026-04-30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Cogent Communications provides high-speed Internet access, private network, data center colocation, and optical wavelength services across North America, Europe, South America, Oceania, and Africa. The company serves small and medium-sized businesses, communications service providers, and bandwidth-intensive organizations through a network spanning 54 countries with over 1,400 data centers.</w:t>
      </w:r>
    </w:p>
    <w:p>
      <w:r>
        <w:rPr>
          <w:rFonts w:ascii="Calibri" w:hAnsi="Calibri"/>
          <w:b/>
          <w:color w:val="6E8450"/>
          <w:sz w:val="18"/>
        </w:rPr>
        <w:t>1,833 Employees · https://www.cogentco.com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2023 acquisition of Sprint's wireline assets was a transformative move, unlocking 135,000+ route miles of fiber and enabling a new optical wavelength product line that generated $38.5M in 2025 revenue, up 100.3% YoY [1][2]. This earns 2 points on Innovation Track Record. However, AI deployment remains limited to basic network optimization with no quantified results (0 points). Cogent holds meaningful market share in low-cost internet transit but is not a category leader or fastest gainer (1 point). The wavelength expansion to 1,068 locations provides pipeline visibility (1 point). R&amp;D intensity is minimal for a telecom operator focused on operational leverage (0 points).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mission is functional — providing affordable, high-quality internet bandwidth — but lacks aspirational depth or a vision beyond connectivity delivery, scoring a 1-point mission floor [3]. Founder-CEO Dave Schaeffer has led the company since 1999, providing continuity, but Glassdoor ratings of 2.3/5 for work-life balance and 1.9/5 for culture and values, with only 26% recommending the company to a friend, indicate serious employee sentiment issues (0 points retention) [4]. No evidence of meaningful community or charitable programs beyond basic corporate responsibility disclosures (0 points). Insider transaction data shows mixed activity with no standout net buying pattern in 2025-2026, with the dramatic 98% dividend cut in Q4 2025 signaling capital conservation over shareholder alignment (0 points) [2]. Score: 1 + 0 + 0 + 2 = 3 (2 points for long-tenured founder CEO commitment as partial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balance sheet is under severe stress following the Sprint wireline acquisition. Negative stockholders' equity of -$63.8M renders D/E undefined (0.0 score). ROE is -2.29%, reflecting ongoing net losses of -$182.2M in FY2025 (0.0 score) [1][2]. Revenue declined 4.6% YoY to $975.8M as legacy on-net corporate and off-net services erode (0.51 score). Negative forward P/E of -9.9x on forward EPS of -$2.37 reflects continued unprofitability (0.0 score). Profit margin of -20.3% includes heavy depreciation from acquired Sprint assets (0.0 score). PEG of 2.22 provides a partial offset (0.39 score). Total debt stands at $2.67B against $148.5M cash, with $750M of 7.00% notes due 2027 creating near-term refinancing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Cogent's 27-year history under founder Dave Schaeffer and the bold Sprint acquisition reflect long-term thinking, but the 98% dividend cut, negative equity, heavy debt load, and severely poor employee culture scores suggest a company fighting for survival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implicit cause — democratizing internet access by offering the lowest-cost, highest-quality bandwidth — has driven consistent strategy since 1999. Schaeffer's focus on operational efficiency and network density is distinctive but not deeply articulated as a transformative vision. The cause reads more as a business model than a rallying purpose (1 point of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paints a troubling picture: 1.9/5 culture and values rating, 26% recommend rate, and multiple reviews citing a CEO who 'doesn't care about his employees' and leadership that uses excessive profanity on company-wide calls [4]. This is a low-trust environment where employees describe political and unsupportive management (0 points of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 has historically positioned itself against Lumen (CenturyLink), Zayo, and major carriers, using their higher cost structures as motivation to maintain the industry's lowest unit cost of bandwidth delivery. Management's competitive language focuses on operational superiority and efficiency improvements rather than destroying rivals (1 point of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Sprint wireline acquisition was a significant strategic pivot — transforming Cogent from a pure internet transit provider into a wavelength and data center infrastructure company. This $1 acquisition came with massive integration costs and debt but fundamentally expanded Cogent's addressable market. The pivot was incremental rather than transformative in terms of abandoning the core business (1 point of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Schaeffer's decision to acquire Sprint's wireline network for $1 — taking on billions in liabilities and transition costs — required genuine courage, betting the company's future on a multi-year integration play [1][2]. The subsequent 98% dividend cut from ~$1.01/quarter to $0.02/quarter demonstrated willingness to sacrifice shareholder returns for long-term balance sheet repair. However, the courage is partly forced by financial necessity rather than purely proactive (1 point of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Cogent Communications is a turnaround story centered on the Sprint wireline acquisition that added 135,000+ route miles of fiber and enabled a fast-growing wavelength business generating $38.5M in 2025 revenue (+100.3% YoY) [1][2]. At $23.46 per share with a $1.18B market cap, the stock trades at a steep discount to replacement value of the fiber network. Adjusted EBITDA of $292.8M for FY2025 shows the operating business generating meaningful cash flow before integration costs. The wavelength product expansion to 1,068 locations positions Cogent to capture AI-driven demand for data center connectivity and hyperscaler bandwidth needs.</w:t>
      </w:r>
    </w:p>
    <w:p>
      <w:pPr>
        <w:spacing w:after="120"/>
      </w:pPr>
      <w:r>
        <w:rPr>
          <w:rFonts w:ascii="Calibri" w:hAnsi="Calibri"/>
          <w:b w:val="0"/>
          <w:color w:val="3A4A28"/>
          <w:sz w:val="20"/>
        </w:rPr>
        <w:t>The bear case is substantial: negative stockholders' equity of -$63.8M, total debt of $2.67B, and $750M in 7.00% notes maturing in 2027 create material refinancing risk [2]. Net losses of -$182.2M in FY2025 and free cash flow of -$90M mean the company is burning cash. Service revenue declined 5.8% in FY2025 as legacy corporate customers churn. The 98% dividend cut from ~$4/year to $0.08/year eliminated the income appeal. Glassdoor ratings (1.9/5 culture) suggest talent retention challenges that could hamper the integration. If the Sprint integration fails to drive profitable growth by 2027, refinancing the debt in a higher-rate environment could be catastrophic.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Wavelength revenue accelerating at 100%+ YoY growth rate with expansion to 1,068+ locations, targeting AI data center interconnection demand [2]</w:t>
      </w:r>
    </w:p>
    <w:p>
      <w:pPr>
        <w:spacing w:before="40" w:after="40"/>
        <w:ind w:left="283"/>
      </w:pPr>
      <w:r>
        <w:rPr>
          <w:rFonts w:ascii="Calibri" w:hAnsi="Calibri"/>
          <w:b/>
          <w:color w:val="4A6B25"/>
          <w:sz w:val="20"/>
        </w:rPr>
        <w:t xml:space="preserve">2. </w:t>
      </w:r>
      <w:r>
        <w:rPr>
          <w:rFonts w:ascii="Calibri" w:hAnsi="Calibri"/>
          <w:b w:val="0"/>
          <w:color w:val="3A4A28"/>
          <w:sz w:val="20"/>
        </w:rPr>
        <w:t>IPv4 address leasing revenue grew 43.8% to $64.5M in FY2025, providing a high-margin monetization stream from Sprint-acquired assets [1]</w:t>
      </w:r>
    </w:p>
    <w:p>
      <w:pPr>
        <w:spacing w:before="40" w:after="40"/>
        <w:ind w:left="283"/>
      </w:pPr>
      <w:r>
        <w:rPr>
          <w:rFonts w:ascii="Calibri" w:hAnsi="Calibri"/>
          <w:b/>
          <w:color w:val="4A6B25"/>
          <w:sz w:val="20"/>
        </w:rPr>
        <w:t xml:space="preserve">3. </w:t>
      </w:r>
      <w:r>
        <w:rPr>
          <w:rFonts w:ascii="Calibri" w:hAnsi="Calibri"/>
          <w:b w:val="0"/>
          <w:color w:val="3A4A28"/>
          <w:sz w:val="20"/>
        </w:rPr>
        <w:t>Q1 2026 earnings call (May 4, 2026) expected to show continued month-over-month revenue inflection as Sprint integration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Refinancing risk on $750M of 7.00% senior unsecured notes due 2027, with negative equity and ongoing losses limiting access to favorable terms [2]</w:t>
      </w:r>
    </w:p>
    <w:p>
      <w:pPr>
        <w:spacing w:before="40" w:after="40"/>
        <w:ind w:left="283"/>
      </w:pPr>
      <w:r>
        <w:rPr>
          <w:rFonts w:ascii="Calibri" w:hAnsi="Calibri"/>
          <w:b/>
          <w:color w:val="4A6B25"/>
          <w:sz w:val="20"/>
        </w:rPr>
        <w:t xml:space="preserve">2. </w:t>
      </w:r>
      <w:r>
        <w:rPr>
          <w:rFonts w:ascii="Calibri" w:hAnsi="Calibri"/>
          <w:b w:val="0"/>
          <w:color w:val="3A4A28"/>
          <w:sz w:val="20"/>
        </w:rPr>
        <w:t>Legacy service revenue erosion of -5.8% YoY as corporate customers shift to competing providers or reduce office footprints post-pandemic [1]</w:t>
      </w:r>
    </w:p>
    <w:p>
      <w:pPr>
        <w:spacing w:before="40" w:after="40"/>
        <w:ind w:left="283"/>
      </w:pPr>
      <w:r>
        <w:rPr>
          <w:rFonts w:ascii="Calibri" w:hAnsi="Calibri"/>
          <w:b/>
          <w:color w:val="4A6B25"/>
          <w:sz w:val="20"/>
        </w:rPr>
        <w:t xml:space="preserve">3. </w:t>
      </w:r>
      <w:r>
        <w:rPr>
          <w:rFonts w:ascii="Calibri" w:hAnsi="Calibri"/>
          <w:b w:val="0"/>
          <w:color w:val="3A4A28"/>
          <w:sz w:val="20"/>
        </w:rPr>
        <w:t>Severely negative employee culture (1.9/5 Glassdoor) threatens ability to retain and recruit talent needed to execute complex Sprint network integration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core business — physical fiber-optic network infrastructure, data center colocation, and internet transit — is structurally protected from AI disruption. AI cannot replace physical network connectivity; if anything, the explosion of AI workloads increases demand for bandwidth, colocation, and wavelength services [1][2]. The Sprint acquisition positioned Cogent with 135,000+ route miles of owned fiber that directly benefits from AI-driven data center buildouts. Analysts view telecom infrastructure providers as AI beneficiaries rather than victims. Cogent earns 6 points on AI Risk Protection (PROTECTED — physical infrastructure moat). The company generates emerging AI-adjacent revenue through wavelength services to hyperscalers and data center operators, earning 1 point on AI Opportunity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Cogent Communications Q4 2025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Cogent Communications 10-K Annual Report, Filed March 2026</w:t>
      </w:r>
    </w:p>
    <w:p>
      <w:pPr>
        <w:spacing w:before="20" w:after="20"/>
        <w:ind w:left="170"/>
      </w:pPr>
      <w:r>
        <w:rPr>
          <w:rFonts w:ascii="Calibri" w:hAnsi="Calibri"/>
          <w:b/>
          <w:color w:val="4A6B25"/>
          <w:sz w:val="15"/>
        </w:rPr>
        <w:t xml:space="preserve">3. </w:t>
      </w:r>
      <w:r>
        <w:rPr>
          <w:rFonts w:ascii="Calibri" w:hAnsi="Calibri"/>
          <w:b w:val="0"/>
          <w:color w:val="3A4A28"/>
          <w:sz w:val="17"/>
        </w:rPr>
        <w:t>Cogent Communications Corporate Website — About and Corporate Responsibility pages,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Cogent Communications Employee Reviews,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