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w:t>
      </w:r>
      <w:r>
        <w:rPr>
          <w:rFonts w:ascii="Calibri" w:hAnsi="Calibri"/>
          <w:b/>
          <w:color w:val="1A2010"/>
          <w:sz w:val="40"/>
        </w:rPr>
        <w:t xml:space="preserve">  The Chemours Company</w:t>
      </w:r>
    </w:p>
    <w:p>
      <w:pPr>
        <w:spacing w:after="120"/>
      </w:pPr>
      <w:r>
        <w:rPr>
          <w:rFonts w:ascii="Calibri" w:hAnsi="Calibri"/>
          <w:b/>
          <w:color w:val="6E8450"/>
          <w:sz w:val="18"/>
        </w:rPr>
        <w:t>GROWTH SLEEVE · 2026-04-07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The Chemours Company is a global specialty chemicals company spun off from DuPont in 2015, operating across three segments: Titanium Technologies (TiO2 pigments), Thermal &amp; Specialized Solutions (Opteon refrigerants, fluoropolymers), and Advanced Performance Materials. The company generated $5.81 billion in revenue in 2025.</w:t>
      </w:r>
    </w:p>
    <w:p>
      <w:r>
        <w:rPr>
          <w:rFonts w:ascii="Calibri" w:hAnsi="Calibri"/>
          <w:b/>
          <w:color w:val="6E8450"/>
          <w:sz w:val="18"/>
        </w:rPr>
        <w:t>6,100 Employees · https://www.chemours.com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Chemours' Thermal &amp; Specialized Solutions segment delivered record Q4 2025 performance with 37% YoY growth in Opteon refrigerants driven by the global HFC phasedown mandate [1]. However, overall revenue was flat at $5.81B and the Titanium Technologies segment faces secular decline. The 2024 CEO/CFO suspension for financial reporting issues severely damaged credibility [3]. AI Deployment (0/2): No AI-powered products shipping and no specific AI-driven cost savings reported. Chemours is a traditional chemicals manufacturer without meaningful AI deployment [2]. Market Share (1/2): Chemours is a top-3 global TiO2 producer and a leading manufacturer of Opteon next-generation refrigerants, benefiting from regulatory-driven demand [1]. However, TiO2 is a commodity market with significant Chinese competition. Pipeline (1/2): The HFC phasedown regulation (Kigali Amendment) creates a clear demand runway for Opteon refrigerants through the 2030s, and the company guides 3-5% revenue growth for 2026 with $800-900M adjusted EBITDA [1]. R&amp;D Intensity (1/1): Chemours invests in fluorochemistry R&amp;D, particularly Opteon and advanced materials, at levels above the commodity chemicals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Chemours states a commitment to 'responsible chemistry' and creating a 'better world through the power of our chemistry,' but this is generic for a chemicals company and has been severely undermined by the PFAS contamination controversy and corporate governance failures [2][4]. Community Impact (0/2): Chemours and DuPont generated extensive PFAS contamination affecting over 500,000 residents in the Cape Fear River watershed in North Carolina, with UN human rights experts condemning the companies' conduct [4]. The $1.185B water systems settlement and $875M New Jersey settlement reflect the scope of environmental damage [4]. Employee Retention (0/2): CEO Mark Newman and CFO Jonathan Lock were placed on administrative leave in 2024 during an internal review of financial reporting practices, signaling a toxic 'tone at the top' [3]. New CEO Denise Dignam (appointed 2024) is rebuilding trust but organizational stability remains in question. Insider Buying (1/2): No significant net insider buying data found, though new CEO Dignam has 26+ years of DuPont/Chemours experience, suggesting long-term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Chemours' financial profile reflects extreme leverage and ongoing losses. D/E of 1,750% (total debt $4.39B against minimal equity) is catastrophically high — well beyond the 300% floor [5]. ROE is -93.8% reflecting net losses [5]. Profit margin of -6.65% and revenue decline of 2.1% YoY demonstrate a struggling business [5]. The sole bright spot is forward P/E of 9.78x, suggesting the market expects a return to profitability driven by Opteon growth and TiO2 stabilization [5]. 2026 guidance of 3-5% revenue growth and $800-900M adjusted EBITDA provides some visibility [1]. Cash of $670M against $4.39B debt creates significant refinancing risk. Dividend was cut 65% from $0.25 to $0.088/quarter in 2025 [5]. Liquidity floor cleared: 3.59M avg vol × $21.70 = $77.8M [5]. Infrastructure calculated: D/E 1750% (0.0, 1×), ROE -93.8% (0.0, 2×), Rev Growth YoY -2.1% (0.60, 1×), Rev Growth 5yr CAGR ~2.2% (0.48, 2×), Forward P/E 9.78 (1.0, 1×), Profit Margin -6.65% (0.0, 1×) = weighted 2.56/8 × 10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Chemours demonstrates predominantly finite game thinking — the company's PFAS contamination legacy, corporate governance failures (CEO/CFO placed on leave for financial reporting issues), and severe balance sheet distress suggest an organization focused on survival and quarterly management rather than long-term cause advancement. The Opteon transition shows some strategic vision, but it is overshadowed by the governance crisis and environmental liabilities.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Chemours claims 'responsible chemistry' as its purpose, but this has been directly contradicted by the PFAS contamination scandal — UN human rights experts concluded the company 'knew about risks but kept making toxic PFAS chemicals' [4]. The $2B+ in environmental settlements demonstrates a gap between stated purpose and actual behavior. The Opteon transition from harmful HFC refrigerants provides a partial redemption narrative, but the credibility of any stated cause is deeply damaged.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2024 suspension of CEO Mark Newman and CFO Jonathan Lock for financial reporting irregularities — described as problems with 'tone at the top' — reveals a deeply dysfunctional leadership environment [3]. This is the antithesis of Sinek's Circle of Safety. New CEO Denise Dignam (26-year DuPont/Chemours veteran) is rebuilding, but the organizational trauma of a CEO/CFO suspension for financial misconduct signals systemic trust problems.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rivalry constructively. Chemours operates in commodity TiO2 markets with significant Chinese competition and speaks primarily about regulatory advantages (HFC phasedown) rather than learning from rival capabilities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Chemours' strategic pivot from legacy refrigerants to Opteon next-generation products represents meaningful business model evolution driven by regulatory change [1]. The TSS segment's 37% Q4 growth demonstrates the pivot is working commercially. However, this adaptation was forced by regulation (Kigali Amendment HFC phasedown) rather than being a proactive choice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2024 financial reporting scandal, where the board had to place its own CEO and CFO on leave, demonstrates the opposite of courageous leadership [3]. The 65% dividend cut from $0.25 to $0.088/quarter in 2025 reflects financial distress rather than bold reinvestment [5]. Attorneys allege the company 'hid emission data from the public,' suggesting a pattern of concealment over transparency [4]. No evidence of leadership making costly long-term bets or principled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Chemours offers a deep value opportunity trading at 9.78x forward earnings, with the Thermal &amp; Specialized Solutions segment delivering record 37% growth in Opteon refrigerants driven by the global HFC phasedown mandate (Kigali Amendment) [1]. The company guides 3-5% revenue growth and $800-900M adjusted EBITDA for 2026, suggesting a return to profitability after 2025's net loss year. New CEO Denise Dignam (26-year veteran) brings operational credibility, and the Opteon regulatory tailwind extends through the 2030s as HFC phasedowns accelerate globally. If TiO2 markets stabilize and PFAS litigation risk becomes more quantifiable, the stock's depressed valuation could rerate significantly [1][5].</w:t>
      </w:r>
    </w:p>
    <w:p>
      <w:pPr>
        <w:spacing w:after="120"/>
      </w:pPr>
      <w:r>
        <w:rPr>
          <w:rFonts w:ascii="Calibri" w:hAnsi="Calibri"/>
          <w:b w:val="0"/>
          <w:color w:val="3A4A28"/>
          <w:sz w:val="20"/>
        </w:rPr>
        <w:t>The bear case is severe and multi-dimensional. Chemours carries $4.39B in debt against only $670M cash with D/E of 1,750%, creating existential refinancing risk if credit markets tighten [5]. The PFAS litigation liability remains massive and unquantified — $1.185B water systems settlement and $875M New Jersey settlement are just the beginning, with UN human rights experts condemning the company's conduct and new allegations of hidden emission data [4]. The 2024 CEO/CFO suspension for financial reporting irregularities destroyed governance credibility and may have legal consequences. Profit margin is -6.65%, ROE is -93.8%, and the dividend was cut 65% — the financial profile of a deeply distressed company [5]. TiO2 faces secular pressure from Chinese oversupply. Even the Opteon growth story depends on regulatory enforcement that could change. At $21.70 with a $3.3B market cap, the stock prices in hope for a turnaround, but the accumulation of financial, legal, and governance risks makes this a speculative recovery play at best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Opteon refrigerant demand acceleration as global HFC phasedown mandates tighten through the 2030s, driving TSS segment toward double-digit growth rates [1]</w:t>
      </w:r>
    </w:p>
    <w:p>
      <w:pPr>
        <w:spacing w:before="40" w:after="40"/>
        <w:ind w:left="283"/>
      </w:pPr>
      <w:r>
        <w:rPr>
          <w:rFonts w:ascii="Calibri" w:hAnsi="Calibri"/>
          <w:b/>
          <w:color w:val="4A6B25"/>
          <w:sz w:val="20"/>
        </w:rPr>
        <w:t xml:space="preserve">2. </w:t>
      </w:r>
      <w:r>
        <w:rPr>
          <w:rFonts w:ascii="Calibri" w:hAnsi="Calibri"/>
          <w:b w:val="0"/>
          <w:color w:val="3A4A28"/>
          <w:sz w:val="20"/>
        </w:rPr>
        <w:t>PFAS litigation resolution and quantification of liabilities — settlements to date ($2B+) may represent progress toward capping total exposure and removing the tail risk overhang [4]</w:t>
      </w:r>
    </w:p>
    <w:p>
      <w:pPr>
        <w:spacing w:before="40" w:after="40"/>
        <w:ind w:left="283"/>
      </w:pPr>
      <w:r>
        <w:rPr>
          <w:rFonts w:ascii="Calibri" w:hAnsi="Calibri"/>
          <w:b/>
          <w:color w:val="4A6B25"/>
          <w:sz w:val="20"/>
        </w:rPr>
        <w:t xml:space="preserve">3. </w:t>
      </w:r>
      <w:r>
        <w:rPr>
          <w:rFonts w:ascii="Calibri" w:hAnsi="Calibri"/>
          <w:b w:val="0"/>
          <w:color w:val="3A4A28"/>
          <w:sz w:val="20"/>
        </w:rPr>
        <w:t>2026 adjusted EBITDA guidance of $800-900M implies a significant improvement from 2025, with Opteon pricing strength and cost improvement programs driving margin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litigation tail risk — $2B+ in settlements to date may be just the beginning, with ongoing federal and state claims, UN condemnation, and new allegations of concealed emission data creating open-ended liability [4]</w:t>
      </w:r>
    </w:p>
    <w:p>
      <w:pPr>
        <w:spacing w:before="40" w:after="40"/>
        <w:ind w:left="283"/>
      </w:pPr>
      <w:r>
        <w:rPr>
          <w:rFonts w:ascii="Calibri" w:hAnsi="Calibri"/>
          <w:b/>
          <w:color w:val="4A6B25"/>
          <w:sz w:val="20"/>
        </w:rPr>
        <w:t xml:space="preserve">2. </w:t>
      </w:r>
      <w:r>
        <w:rPr>
          <w:rFonts w:ascii="Calibri" w:hAnsi="Calibri"/>
          <w:b w:val="0"/>
          <w:color w:val="3A4A28"/>
          <w:sz w:val="20"/>
        </w:rPr>
        <w:t>Extreme leverage ($4.39B debt, 1,750% D/E) with only $670M cash — a credit market tightening or earnings miss could trigger covenant violations or liquidity crisis [5]</w:t>
      </w:r>
    </w:p>
    <w:p>
      <w:pPr>
        <w:spacing w:before="40" w:after="40"/>
        <w:ind w:left="283"/>
      </w:pPr>
      <w:r>
        <w:rPr>
          <w:rFonts w:ascii="Calibri" w:hAnsi="Calibri"/>
          <w:b/>
          <w:color w:val="4A6B25"/>
          <w:sz w:val="20"/>
        </w:rPr>
        <w:t xml:space="preserve">3. </w:t>
      </w:r>
      <w:r>
        <w:rPr>
          <w:rFonts w:ascii="Calibri" w:hAnsi="Calibri"/>
          <w:b w:val="0"/>
          <w:color w:val="3A4A28"/>
          <w:sz w:val="20"/>
        </w:rPr>
        <w:t>Governance credibility destruction — 2024 CEO/CFO suspension for financial reporting issues, 65% dividend cut, and negative profit margin create a toxic combination that limits the company's ability to access capital markets on favorable terms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Chemours' core business is physical-world manufacturing of specialty chemicals — TiO2 pigments, fluoropolymers, and Opteon refrigerants — that AI cannot substitute [2]. These are physical products requiring chemical plants, regulatory approvals, and deep fluorochemistry expertise. The HFC phasedown regulation creates demand that is policy-driven, not technology-driven. AI is more likely to increase demand for Chemours' thermal management products as AI data center cooling becomes critical [2]. AI Opportunity (0/1): Chemours does not generate AI-related product revenue. While the company's thermal management chemicals may benefit from AI data center growth, this is a secondary demand driver rather than an AI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Chemours Q4 and Full Year 2025 Earnings Release — $5.81B revenue, TSS record Q4, 2026 guidance 3-5% growth and $800-900M adj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Chemours corporate website — leadership team, Denise Dignam CEO appointment, responsible chemistry mission</w:t>
      </w:r>
    </w:p>
    <w:p>
      <w:pPr>
        <w:spacing w:before="20" w:after="20"/>
        <w:ind w:left="170"/>
      </w:pPr>
      <w:r>
        <w:rPr>
          <w:rFonts w:ascii="Calibri" w:hAnsi="Calibri"/>
          <w:b/>
          <w:color w:val="4A6B25"/>
          <w:sz w:val="15"/>
        </w:rPr>
        <w:t xml:space="preserve">3. </w:t>
      </w:r>
      <w:r>
        <w:rPr>
          <w:rFonts w:ascii="Calibri" w:hAnsi="Calibri"/>
          <w:b w:val="0"/>
          <w:color w:val="3A4A28"/>
          <w:sz w:val="17"/>
        </w:rPr>
        <w:t>CFO Dive — Chemours probes 'tone at the top,' puts CEO Mark Newman and CFO Jonathan Lock on leave, 2024</w:t>
      </w:r>
    </w:p>
    <w:p>
      <w:pPr>
        <w:spacing w:before="20" w:after="20"/>
        <w:ind w:left="170"/>
      </w:pPr>
      <w:r>
        <w:rPr>
          <w:rFonts w:ascii="Calibri" w:hAnsi="Calibri"/>
          <w:b/>
          <w:color w:val="4A6B25"/>
          <w:sz w:val="15"/>
        </w:rPr>
        <w:t xml:space="preserve">4. </w:t>
      </w:r>
      <w:r>
        <w:rPr>
          <w:rFonts w:ascii="Calibri" w:hAnsi="Calibri"/>
          <w:b w:val="0"/>
          <w:color w:val="3A4A28"/>
          <w:sz w:val="17"/>
        </w:rPr>
        <w:t>Inside Climate News / OHCHR / SELC — PFAS contamination controversy, UN human rights findings, $1.185B water settlement, $875M New Jersey settlement</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CC (Chemours),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