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CDE</w:t>
      </w:r>
      <w:r>
        <w:rPr>
          <w:rFonts w:ascii="Calibri" w:hAnsi="Calibri"/>
          <w:b/>
          <w:color w:val="1A2010"/>
          <w:sz w:val="40"/>
        </w:rPr>
        <w:t xml:space="preserve">  Coeur Mining, Inc.</w:t>
      </w:r>
    </w:p>
    <w:p>
      <w:pPr>
        <w:spacing w:after="120"/>
      </w:pPr>
      <w:r>
        <w:rPr>
          <w:rFonts w:ascii="Calibri" w:hAnsi="Calibri"/>
          <w:b/>
          <w:color w:val="6E8450"/>
          <w:sz w:val="18"/>
        </w:rPr>
        <w:t>GROWTH SLEEVE · 2026-03-23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United States</w:t>
      </w:r>
    </w:p>
    <w:p>
      <w:pPr>
        <w:spacing w:after="80"/>
      </w:pPr>
      <w:r>
        <w:rPr>
          <w:rFonts w:ascii="Calibri" w:hAnsi="Calibri"/>
          <w:b w:val="0"/>
          <w:color w:val="3A4A28"/>
          <w:sz w:val="20"/>
        </w:rPr>
        <w:t>Coeur Mining is a precious metals producer operating five mines across the United States, Canada, and Mexico. The company produced 419,046 ounces of gold and 17.9 million ounces of silver in 2025, generating record revenue of $2.1 billion and is acquiring New Gold to create a sector-leading North American mining company.</w:t>
      </w:r>
    </w:p>
    <w:p>
      <w:r>
        <w:rPr>
          <w:rFonts w:ascii="Calibri" w:hAnsi="Calibri"/>
          <w:b/>
          <w:color w:val="6E8450"/>
          <w:sz w:val="18"/>
        </w:rPr>
        <w:t>2,620 Employees · https://www.coeur.com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Coeur successfully transformed from a struggling miner to a record-setting producer through the Rochester mine expansion and acquisition of Las Chispas, with revenue nearly doubling to $2.1B in 2025 [1]. The pending New Gold acquisition represents another transformative deal. AI Deployment (0/2): No evidence of AI deployment in mining operations or AI-driven cost savings [2]. Market Share (1/2): Coeur is ranked #8 among the largest North American gold and silver mining entities, a meaningful player but not the category leader [1]. Pipeline (1/2): The New Gold acquisition (expected to close H1 2026) adds New Afton and Rainy River mines and is projected to create $3B EBITDA and $2B free cash flow combined, with specific deal timeline [1]. R&amp;D Intensity (1/1): Record exploration spending and focus on brownfield expansion at existing mines demonstrate above-average reinvestment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Coeur's purpose 'We Pursue a Higher Standard' is aspirational but generic — it doesn't specify what higher standard means or connect to a deeper cause beyond operational excellence [2]. Community Impact (1/2): Coeur adopted a formal Indigenous Peoples Policy in 2022 and publishes ESG reports, and its lowest TRIFR safety rate among peers demonstrates genuine commitment to worker safety [3]. Employee Retention (1/2): Management team tenure data was not available, but the B- culture rating on Comparably and emphasis on welcoming new ideas suggests moderate employee satisfaction [2]. Insider Buying (0/2): No evidence of meaningful net insider buying by CEO Krebs or other executives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Coeur's infrastructure score reflects a company at peak financial performance. Revenue growth of 120.9% YoY with record $2.1B revenue and profit margin of 28.3% demonstrate exceptional earnings power at current metal prices [1][6]. D/E of 10.8% is extremely conservative, and ROE of 26.4% far exceeds targets. Forward P/E of 6.2x is deeply attractive, suggesting the market discounts the sustainability of record earnings [6]. Net income grew tenfold to $586M and adjusted EBITDA tripled to $1B [1]. Free cash flow of $387M enables M&amp;A and delevering. Liquidity floor easily cleared: 24.1M avg vol x $17.67 = $426M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Coeur Mining's 'We Pursue a Higher Standard' ethos, ESG commitments, and the transformative New Gold acquisition demonstrate strategic long-term thinking. The company's safety record (lowest TRIFR among peers) and Indigenous Peoples Policy show genuine commitment to stakeholders beyond shareholders. However, mining is inherently extractive, and the cyclical nature of precious metals creates finite-game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Coeur's mission to pursue 'a higher standard' in mining emphasizes protecting people, developing quality resources, and delivering impactful results [2]. The adoption of Indigenous Peoples Policy and GISTM tailings management standards (only 17% of non-ICMM companies) demonstrates commitment to responsible extraction. The just cause is genuine but constrained by mining's extractive nature.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Mitchell Krebs has led Coeur through multiple cycles with Wharton/Harvard credentials providing strategic depth [2]. The company achieved the lowest Total Reportable Injury Frequency Rate among peers at 0.46, indicating a genuine culture of safety and worker wellbeing [3]. The B- culture score on Comparably suggests room for improvement.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Coeur competes with Hecla Mining, First Majestic, and Pan American Silver in silver, and Barrick and Newmont in gold. The decision to acquire New Gold demonstrates awareness that scale matters in precious metals mining and willingness to learn from larger peers' integrated operating models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New Gold acquisition transforming Coeur into a senior precious metals producer with projected $3B EBITDA demonstrates significant existential flexibility [1]. The company has also pivoted its mine portfolio through Las Chispas acquisition and Rochester expansion, showing willingness to reshape operations based on opportunity.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Coeur implemented GISTM tailings standards ahead of most peers and adopted formal Indigenous Peoples Policy before industry regulation required it [3]. The willingness to pursue a transformative merger (New Gold) while the business is performing at record levels shows strategic courage rather than complacency.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Coeur Mining delivered a transformational 2025: revenue nearly doubled to $2.1B, net income grew tenfold to $586M, EBITDA tripled to $1B, and free cash flow reached $387M [1]. At a forward P/E of just 6.2x with 26.4% ROE and 28.3% profit margins, the stock is deeply undervalued if precious metals prices remain elevated. The pending New Gold acquisition (stockholder-approved January 2026) is expected to create a sector-leading company with projected $3B EBITDA and $2B free cash flow, providing significant earnings accretion [1]. Silver and gold prices at record levels provide tailwinds for production guidance of up to 460K oz gold and 21.3M oz silver in 2026.</w:t>
      </w:r>
    </w:p>
    <w:p>
      <w:pPr>
        <w:spacing w:after="120"/>
      </w:pPr>
      <w:r>
        <w:rPr>
          <w:rFonts w:ascii="Calibri" w:hAnsi="Calibri"/>
          <w:b w:val="0"/>
          <w:color w:val="3A4A28"/>
          <w:sz w:val="20"/>
        </w:rPr>
        <w:t>The bear case mirrors all precious metals miners: gold at $3,818/oz and silver at $54/oz represent historical peaks, and any meaningful correction would rapidly compress Coeur's margins and earnings [1]. The New Gold acquisition adds integration risk and execution complexity, particularly in consolidating operations across seven mines in four countries. 2026 cost guidance reflects 3-5% inflation across the portfolio and higher royalty expenses at Rochester, which could pressure margins even at elevated metal prices [1]. The cyclical nature of mining means today's record earnings may not be sustainable — analyst revenue estimates have softened by 9.4% despite EPS estimate upgrades.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Gold acquisition closing in H1 2026 creating a senior precious metals producer with projected $3B EBITDA and $2B combined free cash flow</w:t>
      </w:r>
    </w:p>
    <w:p>
      <w:pPr>
        <w:spacing w:before="40" w:after="40"/>
        <w:ind w:left="283"/>
      </w:pPr>
      <w:r>
        <w:rPr>
          <w:rFonts w:ascii="Calibri" w:hAnsi="Calibri"/>
          <w:b/>
          <w:color w:val="4A6B25"/>
          <w:sz w:val="20"/>
        </w:rPr>
        <w:t xml:space="preserve">2. </w:t>
      </w:r>
      <w:r>
        <w:rPr>
          <w:rFonts w:ascii="Calibri" w:hAnsi="Calibri"/>
          <w:b w:val="0"/>
          <w:color w:val="3A4A28"/>
          <w:sz w:val="20"/>
        </w:rPr>
        <w:t>2026 silver production guidance of up to 21.3M oz representing 10%+ growth, with gold production up to 460K oz</w:t>
      </w:r>
    </w:p>
    <w:p>
      <w:pPr>
        <w:spacing w:before="40" w:after="40"/>
        <w:ind w:left="283"/>
      </w:pPr>
      <w:r>
        <w:rPr>
          <w:rFonts w:ascii="Calibri" w:hAnsi="Calibri"/>
          <w:b/>
          <w:color w:val="4A6B25"/>
          <w:sz w:val="20"/>
        </w:rPr>
        <w:t xml:space="preserve">3. </w:t>
      </w:r>
      <w:r>
        <w:rPr>
          <w:rFonts w:ascii="Calibri" w:hAnsi="Calibri"/>
          <w:b w:val="0"/>
          <w:color w:val="3A4A28"/>
          <w:sz w:val="20"/>
        </w:rPr>
        <w:t>Reaching net cash position by 2026 enabling further shareholder returns and growth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and silver price correction from record levels ($3,818/oz gold, $54/oz silver) would compress margins given fixed mining cost structure</w:t>
      </w:r>
    </w:p>
    <w:p>
      <w:pPr>
        <w:spacing w:before="40" w:after="40"/>
        <w:ind w:left="283"/>
      </w:pPr>
      <w:r>
        <w:rPr>
          <w:rFonts w:ascii="Calibri" w:hAnsi="Calibri"/>
          <w:b/>
          <w:color w:val="4A6B25"/>
          <w:sz w:val="20"/>
        </w:rPr>
        <w:t xml:space="preserve">2. </w:t>
      </w:r>
      <w:r>
        <w:rPr>
          <w:rFonts w:ascii="Calibri" w:hAnsi="Calibri"/>
          <w:b w:val="0"/>
          <w:color w:val="3A4A28"/>
          <w:sz w:val="20"/>
        </w:rPr>
        <w:t>New Gold acquisition integration risk across seven mines in four countries with 3-5% cost inflation guidance</w:t>
      </w:r>
    </w:p>
    <w:p>
      <w:pPr>
        <w:spacing w:before="40" w:after="40"/>
        <w:ind w:left="283"/>
      </w:pPr>
      <w:r>
        <w:rPr>
          <w:rFonts w:ascii="Calibri" w:hAnsi="Calibri"/>
          <w:b/>
          <w:color w:val="4A6B25"/>
          <w:sz w:val="20"/>
        </w:rPr>
        <w:t xml:space="preserve">3. </w:t>
      </w:r>
      <w:r>
        <w:rPr>
          <w:rFonts w:ascii="Calibri" w:hAnsi="Calibri"/>
          <w:b w:val="0"/>
          <w:color w:val="3A4A28"/>
          <w:sz w:val="20"/>
        </w:rPr>
        <w:t>Higher royalty expenses at Rochester driven by stronger metal prices and impact of stronger Mexican peso on Palmarejo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silver mining is a physical extraction process that AI structurally cannot replace [1]. Mine development, underground operations, and ore processing require physical infrastructure, environmental permits, and geological expertise that are immune to AI substitution. Increasing demand for silver in electronics, solar panels, and AI data center infrastructure may actually benefit Coeur as an indirect AI tailwind. AI Opportunity (0/1): Coeur does not generate AI-related revenue, and no specific AI-driven operational improvements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Coeur Mining Q4/Full Year 2025 Results and 2026 Production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Coeur Mining leadership, culture, and mission — Comparably, LinkedIn,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Coeur Mining 2023 ESG Report and Indigenous Peoples Policy</w:t>
      </w:r>
    </w:p>
    <w:p>
      <w:pPr>
        <w:spacing w:before="20" w:after="20"/>
        <w:ind w:left="170"/>
      </w:pPr>
      <w:r>
        <w:rPr>
          <w:rFonts w:ascii="Calibri" w:hAnsi="Calibri"/>
          <w:b/>
          <w:color w:val="4A6B25"/>
          <w:sz w:val="15"/>
        </w:rPr>
        <w:t xml:space="preserve">4. </w:t>
      </w:r>
      <w:r>
        <w:rPr>
          <w:rFonts w:ascii="Calibri" w:hAnsi="Calibri"/>
          <w:b w:val="0"/>
          <w:color w:val="3A4A28"/>
          <w:sz w:val="17"/>
        </w:rPr>
        <w:t>Seeking Alpha — Coeur Mining New Gold merger analysis, January 2026</w:t>
      </w:r>
    </w:p>
    <w:p>
      <w:pPr>
        <w:spacing w:before="20" w:after="20"/>
        <w:ind w:left="170"/>
      </w:pPr>
      <w:r>
        <w:rPr>
          <w:rFonts w:ascii="Calibri" w:hAnsi="Calibri"/>
          <w:b/>
          <w:color w:val="4A6B25"/>
          <w:sz w:val="15"/>
        </w:rPr>
        <w:t xml:space="preserve">5. </w:t>
      </w:r>
      <w:r>
        <w:rPr>
          <w:rFonts w:ascii="Calibri" w:hAnsi="Calibri"/>
          <w:b w:val="0"/>
          <w:color w:val="3A4A28"/>
          <w:sz w:val="17"/>
        </w:rPr>
        <w:t>Motley Fool — Coeur Mining stock performance analysis, February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CDE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