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CDNS</w:t>
      </w:r>
      <w:r>
        <w:rPr>
          <w:rFonts w:ascii="Calibri" w:hAnsi="Calibri"/>
          <w:b/>
          <w:color w:val="1A2010"/>
          <w:sz w:val="40"/>
        </w:rPr>
        <w:t xml:space="preserve">  Cadence Design Systems, Inc.</w:t>
      </w:r>
    </w:p>
    <w:p>
      <w:pPr>
        <w:spacing w:after="120"/>
      </w:pPr>
      <w:r>
        <w:rPr>
          <w:rFonts w:ascii="Calibri" w:hAnsi="Calibri"/>
          <w:b/>
          <w:color w:val="6E8450"/>
          <w:sz w:val="18"/>
        </w:rPr>
        <w:t>GROWTH SLEEVE · 2026-04-14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Cadence Design Systems is one of two dominant providers (with Synopsys) of electronic design automation (EDA) software, semiconductor IP, and system design tools used by every major chipmaker, hyperscaler, and systems company in the world. Cadence's tools are mission-critical to designing AI accelerators, GPUs, ASICs, and increasingly to physical AI applications in robotics, automotive, and aerospace under its 'Intelligent System Design' strategy.</w:t>
      </w:r>
    </w:p>
    <w:p>
      <w:r>
        <w:rPr>
          <w:rFonts w:ascii="Calibri" w:hAnsi="Calibri"/>
          <w:b/>
          <w:color w:val="6E8450"/>
          <w:sz w:val="18"/>
        </w:rPr>
        <w:t>12,500 Employees · https://www.cadence.com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Cadence delivered FY2025 revenue of $5.3B (+14% YoY) with a 45% non-GAAP operating margin and ended 2025 with a record backlog of $7.8B [1]. Under Anirudh Devgan (CEO since 2021), the company expanded from EDA into system analysis (Future Facilities, OpenEye, Pointwise acquisitions) and computational biology (Orion Bio AI), and 5-year TSR through 2024 was 327% with market cap rising from $19.7B to $82.4B [2]. AI Deployment (2/2): The 'three-layer cake' AI strategy (AI + physics-based ground truth + accelerated compute) is shipping in revenue: Cerebrus AI Studio, Verisium, ChipStack Super Agent, and the Joint Enterprise AI offering with NVIDIA all generate measurable customer time-to-tape-out improvements [2][3]. Market Share (2/2): ~30% global EDA share putting Cadence in near-parity with Synopsys (~31%), with the EDA market a structural duopoly (~61% combined) [3]. Pipeline (1/2): IP business grew ~25% in 2025 driven by AI/HPC/automotive demand; Joint Enterprise AI with NVIDIA and Physical AI initiatives provide multi-year visibility [1][2]. R&amp;D Intensity (1/1): R&amp;D spend ~25-30% of revenue, top quartile for software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'Computational software for intelligent system design' is a specific, thoughtful mission that has guided Cadence's expansion from EDA into adjacent system design markets, distinctive from peers and clearly tied to strategy [2]. Community Impact (1/2): Cadence Giving Foundation supports STEM education and disaster relief; standard for the sector. Employee Retention (1/2): Devgan's 'lifelong learning culture' has been recognized publicly, with low engineer turnover compared to broader software peers; specific tenure data not disclosed [2]. Insider Buying (2/2): Devgan was appointed to the Lam Research board in February 2026, signaling industry validation; he holds substantial equity, and Cadence's leadership team has consistently retained equity through the run-up. Cadence's $1B+ buyback program signals capital-allocation conviction [1][2].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Cadence's financial profile is among the best in software. FY2025 revenue of $5.3B (+14%), Q4 2025 revenue $1.44B (+6.2% adjusted YoY for revenue-recognition timing), 45% non-GAAP operating margin, ROE of 21.9%, and 20.9% profit margin reflect software-quality economics [1]. D/E of 48.7% is comfortable. Forward P/E of 30.6 is elevated but reasonable for a duopoly EDA franchise growing 12-15% with $7.8B backlog visibility (~1.5x annual revenue) [1]. 5-year revenue CAGR of ~14% comfortably above the 10% target. Cadence guided 2026 revenue of $5.9B-$6B with continued recurring-revenue strength. Liquidity floor easily cleared: 2.57M avg vol × $288.20 = $740M daily turnover. Forward PEG ~2.1 reflects the premium quality of the franchise.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Cadence is a structurally durable EDA duopolist under stable founder-style leadership (Devgan since 2021, joined company 2012) with a clearly articulated multi-decade Intelligent System Design strategy that has been consistently executed across EDA, hardware emulation, IP, system analysis, and computational biology. The 'three-layer cake' AI framework is the kind of long-horizon thinking Sinek values — designing for what semiconductor design will require in 5-10 years, not what it requires this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Cadence's mission to enable intelligent system design — from chips to systems to physical AI — is a genuine, distinctive cause that has driven a decade of consistent strategic expansion under Devgan and his predecessor Lip-Bu Tan [2]. Strategic decisions trace back to the cause.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Devgan's 'lifelong learning culture' has been publicly recognized; engineering retention is strong relative to broader software, and Devgan was appointed to the Lam Research board in February 2026 — industry validation of his leadership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Cadence-Synopsys duopoly is one of the cleanest examples of worthy rivals in tech: each pushes the other forward on AI tooling, runtime improvements, and IP breadth. Devgan publicly acknowledges Synopsys's strengths and frames competition as a force that improves both companies [3].</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Cadence has expanded from pure EDA software into hardware emulation (Palladium, Protium), semiconductor IP, system analysis (Future Facilities for data-center thermal), and computational biology (Orion Bio AI) — each move requiring courage to enter an adjacent market and dilute the pure-play EDA story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R&amp;D investment at top-quartile intensity (~25-30% of revenue) and serial acquisitions of computational software targets reflect willingness to invest ahead of revenue, though Cadence's overall capital allocation is more conservative than transformative.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Cadence is one of two dominant EDA franchises (with Synopsys) without which no modern AI chip can be designed. FY2025 revenue of $5.3B grew 14% YoY with a 45% non-GAAP operating margin, and the company ended the year with a record $7.8B backlog — ~1.5x trailing revenue, providing exceptional visibility into 2026 and beyond [1]. The IP segment grew ~25% in 2025 driven by AI/HPC/automotive demand, and the new 'three-layer cake' AI strategy plus the Joint Enterprise AI partnership with NVIDIA are accelerating customer adoption of Cerebrus, Verisium, and ChipStack Super Agent [1][2]. Devgan (CEO since 2021) has compounded shareholder value at 327% over five years and has been appointed to the Lam Research board, signaling industry validation [2]. With ~30% global EDA share in a structural duopoly (~61% combined with Synopsys) and AI workloads driving more chip starts and more design complexity per chip, Cadence has multi-year revenue visibility under almost any AI scenario [3].</w:t>
      </w:r>
    </w:p>
    <w:p>
      <w:pPr>
        <w:spacing w:after="120"/>
      </w:pPr>
      <w:r>
        <w:rPr>
          <w:rFonts w:ascii="Calibri" w:hAnsi="Calibri"/>
          <w:b w:val="0"/>
          <w:color w:val="3A4A28"/>
          <w:sz w:val="20"/>
        </w:rPr>
        <w:t>The bear case rests on valuation, China exposure, and competitive parity. At forward P/E of 30.6 and PEG of ~2.1, Cadence prices in continued mid-teens revenue growth and 45%+ operating margins; any deceleration in chip-design starts or hardware emulation would compress the multiple meaningfully. China was historically ~12-15% of EDA revenue and has become a pinch point given U.S. export-control rules that limit which Chinese customers and product nodes Cadence can serve [3]. Synopsys's Ansys acquisition arguably gives that competitor a stronger system-analysis story, and customers increasingly negotiate for combined tool flows, putting pricing pressure on both vendors. The recurring-revenue mix means quarterly revenue can be lumpy as hardware (Palladium) ships, creating headline volatility. P/E of 71x trailing reflects elevated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$7.8B record backlog (~1.5x revenue) plus the Joint Enterprise AI partnership with NVIDIA driving 2026 revenue toward the $5.9B-$6B guidance and beyond [1][2]</w:t>
      </w:r>
    </w:p>
    <w:p>
      <w:pPr>
        <w:spacing w:before="40" w:after="40"/>
        <w:ind w:left="283"/>
      </w:pPr>
      <w:r>
        <w:rPr>
          <w:rFonts w:ascii="Calibri" w:hAnsi="Calibri"/>
          <w:b/>
          <w:color w:val="4A6B25"/>
          <w:sz w:val="20"/>
        </w:rPr>
        <w:t xml:space="preserve">2. </w:t>
      </w:r>
      <w:r>
        <w:rPr>
          <w:rFonts w:ascii="Calibri" w:hAnsi="Calibri"/>
          <w:b w:val="0"/>
          <w:color w:val="3A4A28"/>
          <w:sz w:val="20"/>
        </w:rPr>
        <w:t>IP business growth (~25% in 2025) accelerating as hyperscalers, automotive OEMs, and AI startups adopt Cadence IP for custom silicon programs [1]</w:t>
      </w:r>
    </w:p>
    <w:p>
      <w:pPr>
        <w:spacing w:before="40" w:after="40"/>
        <w:ind w:left="283"/>
      </w:pPr>
      <w:r>
        <w:rPr>
          <w:rFonts w:ascii="Calibri" w:hAnsi="Calibri"/>
          <w:b/>
          <w:color w:val="4A6B25"/>
          <w:sz w:val="20"/>
        </w:rPr>
        <w:t xml:space="preserve">3. </w:t>
      </w:r>
      <w:r>
        <w:rPr>
          <w:rFonts w:ascii="Calibri" w:hAnsi="Calibri"/>
          <w:b w:val="0"/>
          <w:color w:val="3A4A28"/>
          <w:sz w:val="20"/>
        </w:rPr>
        <w:t>Physical AI expansion — Cadence's tools moving into robotics, autonomous vehicles, and drones extends the addressable market beyond traditional chip design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 forward P/E of 30.6 and PEG of ~2.1 leave little margin for error; any deceleration in chip starts or AI capex would compress the multiple</w:t>
      </w:r>
    </w:p>
    <w:p>
      <w:pPr>
        <w:spacing w:before="40" w:after="40"/>
        <w:ind w:left="283"/>
      </w:pPr>
      <w:r>
        <w:rPr>
          <w:rFonts w:ascii="Calibri" w:hAnsi="Calibri"/>
          <w:b/>
          <w:color w:val="4A6B25"/>
          <w:sz w:val="20"/>
        </w:rPr>
        <w:t xml:space="preserve">2. </w:t>
      </w:r>
      <w:r>
        <w:rPr>
          <w:rFonts w:ascii="Calibri" w:hAnsi="Calibri"/>
          <w:b w:val="0"/>
          <w:color w:val="3A4A28"/>
          <w:sz w:val="20"/>
        </w:rPr>
        <w:t>China export-control risk — ~12-15% of revenue subject to evolving U.S. rules limiting which customers and product nodes Cadence can serve [3]</w:t>
      </w:r>
    </w:p>
    <w:p>
      <w:pPr>
        <w:spacing w:before="40" w:after="40"/>
        <w:ind w:left="283"/>
      </w:pPr>
      <w:r>
        <w:rPr>
          <w:rFonts w:ascii="Calibri" w:hAnsi="Calibri"/>
          <w:b/>
          <w:color w:val="4A6B25"/>
          <w:sz w:val="20"/>
        </w:rPr>
        <w:t xml:space="preserve">3. </w:t>
      </w:r>
      <w:r>
        <w:rPr>
          <w:rFonts w:ascii="Calibri" w:hAnsi="Calibri"/>
          <w:b w:val="0"/>
          <w:color w:val="3A4A28"/>
          <w:sz w:val="20"/>
        </w:rPr>
        <w:t>Synopsys-Ansys competitive dynamic — the combined Synopsys-Ansys offering may pressure Cadence's system-analysis pricing and accelerate consolidation pressure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Cadence IS AI infrastructure — its EDA tools are required to design every AI chip in the world (NVIDIA GPUs, custom hyperscaler ASICs, AMD MI accelerators, Apple silicon, automotive ADAS chips). AI is structurally an enabler, not a threat: more AI workloads means more chip starts, more SoC complexity, and more demand for Cadence software and hardware emulation. Devgan has explicitly noted that AI tools (whether developed by Cadence or by customers) ultimately call Cadence software to complete tasks, so AI flows act as a force multiplier that increases EDA usage [1]. Analyst commentary unanimously frames Cadence as an AI beneficiary, not a target. AI Opportunity (1/1): Cerebrus AI Studio, Verisium, ChipStack Super Agent, and the Joint Enterprise AI offering with NVIDIA generate explicitly AI-attributable license revenue, and the IP business grew ~25% in 2025 driven by AI/HPC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Cadence Q4 2025 Earnings Release — $1.44B Q4 revenue, FY $5.3B (+14%), $7.8B backlog, 2026 guide $5.9B-$6B, February 2026</w:t>
      </w:r>
    </w:p>
    <w:p>
      <w:pPr>
        <w:spacing w:before="20" w:after="20"/>
        <w:ind w:left="170"/>
      </w:pPr>
      <w:r>
        <w:rPr>
          <w:rFonts w:ascii="Calibri" w:hAnsi="Calibri"/>
          <w:b/>
          <w:color w:val="4A6B25"/>
          <w:sz w:val="15"/>
        </w:rPr>
        <w:t xml:space="preserve">2. </w:t>
      </w:r>
      <w:r>
        <w:rPr>
          <w:rFonts w:ascii="Calibri" w:hAnsi="Calibri"/>
          <w:b w:val="0"/>
          <w:color w:val="3A4A28"/>
          <w:sz w:val="17"/>
        </w:rPr>
        <w:t>Cadence Newsroom and Devgan profiles — 'three-layer cake' AI strategy, ChipStack Super Agent, Lam Research board appointment February 2026</w:t>
      </w:r>
    </w:p>
    <w:p>
      <w:pPr>
        <w:spacing w:before="20" w:after="20"/>
        <w:ind w:left="170"/>
      </w:pPr>
      <w:r>
        <w:rPr>
          <w:rFonts w:ascii="Calibri" w:hAnsi="Calibri"/>
          <w:b/>
          <w:color w:val="4A6B25"/>
          <w:sz w:val="15"/>
        </w:rPr>
        <w:t xml:space="preserve">3. </w:t>
      </w:r>
      <w:r>
        <w:rPr>
          <w:rFonts w:ascii="Calibri" w:hAnsi="Calibri"/>
          <w:b w:val="0"/>
          <w:color w:val="3A4A28"/>
          <w:sz w:val="17"/>
        </w:rPr>
        <w:t>EDA market share data, Synopsys-Ansys competitive dynamics, China export-control exposure — industry research and SWOT analyses,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CDNS (Cadence Design Systems), retrieved April 14,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