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CDP</w:t>
      </w:r>
      <w:r>
        <w:rPr>
          <w:rFonts w:ascii="Calibri" w:hAnsi="Calibri"/>
          <w:b/>
          <w:color w:val="1A2010"/>
          <w:sz w:val="40"/>
        </w:rPr>
        <w:t xml:space="preserve">  COPT Defense Properties</w:t>
      </w:r>
    </w:p>
    <w:p>
      <w:pPr>
        <w:spacing w:after="120"/>
      </w:pPr>
      <w:r>
        <w:rPr>
          <w:rFonts w:ascii="Calibri" w:hAnsi="Calibri"/>
          <w:b/>
          <w:color w:val="6E8450"/>
          <w:sz w:val="18"/>
        </w:rPr>
        <w:t>DIVIDEND SLEEVE · 2026-05-01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COPT Defense Properties is an S&amp;P MidCap 400 REIT focused on owning, operating, and developing properties proximate to key U.S. Government defense installations. The Defense/IT Portfolio encompasses 201 properties totaling 23.2 million square feet at 96.5% occupancy, leased primarily to the U.S. Government and defense contractors engaged in mission-critical national security activities.</w:t>
      </w:r>
    </w:p>
    <w:p>
      <w:r>
        <w:rPr>
          <w:rFonts w:ascii="Calibri" w:hAnsi="Calibri"/>
          <w:b/>
          <w:color w:val="6E8450"/>
          <w:sz w:val="18"/>
        </w:rPr>
        <w:t>430 Employees · https://www.copt.com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COPT successfully repositioned from a generic office REIT (Corporate Office Properties Trust) to a defense-focused platform, exiting non-defense assets and concentrating on mission-critical properties near military installations — a strategic pivot that redefined the company's identity and competitive positioning [1]. AI Deployment (0/2): No AI-powered products or quantified AI-driven operational efficiencies reported in property management or leasing operations. Market Share Leadership (1/2): COPT is the dominant landlord near major defense installations including Fort Meade/NSA, Redstone Arsenal, and the Navy Yard, with a specialized niche that few competitors can replicate, though exact market share data is not publicly disclosed [1]. Product Pipeline (1/2): Data center development adjacent to defense installations provides growth visibility, with the company raising data center renewal rents by over 90% — though specific pipeline timelines beyond current development are limited [2]. R&amp;D Intensity (1/1): For a REIT, COPT invests above-average in property technology, cybersecurity (joining the Operational Technology Cybersecurity Coalition), and SCIF-capable facility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COPT's purpose — 'providing mission-critical real estate solutions for the defense and national security community' — is specific, thoughtful, and directly connects the company's work to national defense, a genuine higher purpose that differentiates from generic office REITs [4]. The strategic focus on defense has been consistent since the rebrand and repositioning, suggesting authentic intentionality. Community Impact (1/2): COPT has earned a Green Star rating from GRESB for five consecutive years and publishes sustainability reports, though specific charitable dollar amounts or community programs are not prominently disclosed [5]. Employee Retention (1/2): 90% of employees say COPT is a great place to work per Great Place to Work certification, significantly above the 57% U.S. company average, indicating strong employee engagement and mission alignment [3]. Insider Buying (1/2): CEO Budorick's compensation is 89.6% equity-based ($7.58M total), signaling strong alignment with shareholders, though no significant net insider purchases were identified beyond compensation awards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solid for a defense-focused REIT with strong occupancy fundamentals. D/E of 162.8% is elevated but typical for REITs, scoring 0.60 against the 70% target [7]. ROE of 10.4% is moderate for the REIT sector at 0.69. Revenue of $780.5M grew 7.3% YoY with 20% profit margins and a forward P/E of 22.3 — all healthy metrics [1]. The primary drags are a 90.2% payout ratio (scoring 0.16 vs 40% target, though high payout is inherent to REIT structure) and only 4 consecutive years of dividend growth (scoring 0.40). Dividend growth 5yr CAGR of ~4% and 20+ years of consecutive dividend payments provide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COPT demonstrates strong infinite game characteristics through its decade-long strategic repositioning from generic office REIT to defense-focused platform, long-tenured CEO leadership, and high employee satisfaction. The company's 96.5% occupancy and 90.8% lease renewal rate reflect relationships built on trust and long-term alignment with defense tenants. The Just Cause — serving national security — provides genuine enduring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COPT's purpose of providing mission-critical real estate for national defense is genuine, specific, and has been validated by a decade of consistent strategic execution under CEO Budorick. The company exited non-defense assets to concentrate entirely on this mission, and the renaming from Corporate Office Properties Trust to COPT Defense Properties in 2022 formalized this identity [4]. The cause shapes strategic decisions — asset acquisitions and dispositions are filtered through the defense mission lens. However, it hasn't been tested through a multi-decade crisis that would earn full marks.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90% of COPT employees say it is a great place to work, compared to 57% at a typical U.S. company, per Great Place to Work certification [3]. CEO Budorick has led since 2016 (8.9-year tenure), providing exceptional leadership continuity. The 430-employee organization operates with the stability and trust required to manage classified defense facilities, where employee reliability is not optional but mission-critical.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COPT management acknowledges competitive dynamics with other defense real estate developers and data center REITs, framing competition as motivation to improve tenant services and facility capabilities rather than a market share war [1]. The company's Micropayment Trends Report-style thought leadership on defense real estate positions it as an industry authority rather than a competitor-focused player.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COPT's repositioning from a general office REIT to a defense-focused platform represents meaningful strategic evolution — exiting non-defense assets and rebranding as COPT Defense Properties [1]. The recent pivot into data center development adjacent to defense installations shows continued adaptation. However, this was an incremental concentration within real estate rather than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Budorick made the courageous decision to exit profitable non-defense office properties and concentrate the portfolio entirely on defense/IT assets, sacrificing near-term diversification for long-term strategic clarity [1]. The company invested in data center capabilities adjacent to defense installations before the AI boom validated that bet. Raising renewal rents by 90%+ reflects pricing power earned through patient relationship-building rather than short-term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COPT Defense Properties occupies a rare structural advantage at the intersection of defense spending and AI infrastructure demand. The 96.5% occupancy rate, 90.8% lease renewal rate, and 90%+ data center rent increases demonstrate pricing power in a supply-constrained niche that few competitors can replicate [1][2]. Q1 2026 revenue of $200.6M (+6.5% YoY) and FFO per share of $0.69 (+6.2% YoY) beat estimates, leading management to raise full-year FFO guidance to $2.76 midpoint [1]. The 4.9% dividend increase — the fourth consecutive — signals confidence in cash flow durability, supported by defense tenants who must operate on-site for classified work.</w:t>
      </w:r>
    </w:p>
    <w:p>
      <w:pPr>
        <w:spacing w:after="120"/>
      </w:pPr>
      <w:r>
        <w:rPr>
          <w:rFonts w:ascii="Calibri" w:hAnsi="Calibri"/>
          <w:b w:val="0"/>
          <w:color w:val="3A4A28"/>
          <w:sz w:val="20"/>
        </w:rPr>
        <w:t>The bear case centers on valuation and structural REIT constraints. At 22.3x forward P/E and a PEG of 1.02, the market already prices in steady growth — limiting upside surprise potential. D/E of 162.8% is elevated even for REITs, and the 90.2% payout ratio leaves minimal retained cash for self-funded development, requiring ongoing capital market access [7]. Only 4 consecutive years of dividend growth mean the dividend track record is still young. Political risk is real — shifts in defense spending priorities, base realignment decisions, or government shutdowns could disrupt the tenant base. The data center opportunity, while exciting, faces competition from dedicated data center REITs (Equinix, Digital Realty) with deeper expertise and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demand for data center infrastructure adjacent to defense installations — COPT has raised data center renewal rents by 90%+ as hyperscaler demand outstrips supply</w:t>
      </w:r>
    </w:p>
    <w:p>
      <w:pPr>
        <w:spacing w:before="40" w:after="40"/>
        <w:ind w:left="283"/>
      </w:pPr>
      <w:r>
        <w:rPr>
          <w:rFonts w:ascii="Calibri" w:hAnsi="Calibri"/>
          <w:b/>
          <w:color w:val="4A6B25"/>
          <w:sz w:val="20"/>
        </w:rPr>
        <w:t xml:space="preserve">2. </w:t>
      </w:r>
      <w:r>
        <w:rPr>
          <w:rFonts w:ascii="Calibri" w:hAnsi="Calibri"/>
          <w:b w:val="0"/>
          <w:color w:val="3A4A28"/>
          <w:sz w:val="20"/>
        </w:rPr>
        <w:t>Rising geopolitical tensions increasing U.S. defense spending and demand for mission-critical secure facilities, directly benefiting COPT's 96.5% occupied portfolio</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 the 4th consecutive annual increase (4.9%) with FFO guidance raised to $2.76 midpoint signals management confidence in cash flow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Shifts in U.S. defense spending priorities, base realignment decisions (BRAC), or prolonged government shutdowns could disrupt the concentrated defense tenant base</w:t>
      </w:r>
    </w:p>
    <w:p>
      <w:pPr>
        <w:spacing w:before="40" w:after="40"/>
        <w:ind w:left="283"/>
      </w:pPr>
      <w:r>
        <w:rPr>
          <w:rFonts w:ascii="Calibri" w:hAnsi="Calibri"/>
          <w:b/>
          <w:color w:val="4A6B25"/>
          <w:sz w:val="20"/>
        </w:rPr>
        <w:t xml:space="preserve">2. </w:t>
      </w:r>
      <w:r>
        <w:rPr>
          <w:rFonts w:ascii="Calibri" w:hAnsi="Calibri"/>
          <w:b w:val="0"/>
          <w:color w:val="3A4A28"/>
          <w:sz w:val="20"/>
        </w:rPr>
        <w:t>D/E of 162.8% and 90.2% payout ratio leave limited financial flexibility — the company depends on capital markets access for development funding in a rising rate environment</w:t>
      </w:r>
    </w:p>
    <w:p>
      <w:pPr>
        <w:spacing w:before="40" w:after="40"/>
        <w:ind w:left="283"/>
      </w:pPr>
      <w:r>
        <w:rPr>
          <w:rFonts w:ascii="Calibri" w:hAnsi="Calibri"/>
          <w:b/>
          <w:color w:val="4A6B25"/>
          <w:sz w:val="20"/>
        </w:rPr>
        <w:t xml:space="preserve">3. </w:t>
      </w:r>
      <w:r>
        <w:rPr>
          <w:rFonts w:ascii="Calibri" w:hAnsi="Calibri"/>
          <w:b w:val="0"/>
          <w:color w:val="3A4A28"/>
          <w:sz w:val="20"/>
        </w:rPr>
        <w:t>Only 4 consecutive years of dividend growth means the income story is unproven through a full economic cycle, and the payout ratio leaves no cushion for FFO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COPT's core business — owning and operating SCIF-capable, mission-critical physical real estate adjacent to defense installations — is structurally immune to AI disruption. The properties serve tenants who must operate on-site for classified national security work; AI cannot replace physical secure facilities [2]. While work-from-home and AI productivity gains are hollowing out conventional office demand, COPT's defense tenants face the opposite dynamic — rising geopolitical tensions and AI defense applications are increasing demand for secure infrastructure [2]. Data center properties near defense installations benefit directly from AI compute buildout, with renewal rents rising over 90% [2]. AI Opportunity (1/1): COPT is generating meaningful revenue from AI-adjacent infrastructure — its data center properties serve hyperscalers and defense AI workloads, directly benefiting from the AI infrastructure buildout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COPT Defense Properties Q1 2026 Earnings Release and Supplemental, April 2026</w:t>
      </w:r>
    </w:p>
    <w:p>
      <w:pPr>
        <w:spacing w:before="20" w:after="20"/>
        <w:ind w:left="170"/>
      </w:pPr>
      <w:r>
        <w:rPr>
          <w:rFonts w:ascii="Calibri" w:hAnsi="Calibri"/>
          <w:b/>
          <w:color w:val="4A6B25"/>
          <w:sz w:val="15"/>
        </w:rPr>
        <w:t xml:space="preserve">2. </w:t>
      </w:r>
      <w:r>
        <w:rPr>
          <w:rFonts w:ascii="Calibri" w:hAnsi="Calibri"/>
          <w:b w:val="0"/>
          <w:color w:val="3A4A28"/>
          <w:sz w:val="17"/>
        </w:rPr>
        <w:t>Citybiz — 'COPT Defense Properties: Where Defense Real Estate Meets the AI Buildout', 2026</w:t>
      </w:r>
    </w:p>
    <w:p>
      <w:pPr>
        <w:spacing w:before="20" w:after="20"/>
        <w:ind w:left="170"/>
      </w:pPr>
      <w:r>
        <w:rPr>
          <w:rFonts w:ascii="Calibri" w:hAnsi="Calibri"/>
          <w:b/>
          <w:color w:val="4A6B25"/>
          <w:sz w:val="15"/>
        </w:rPr>
        <w:t xml:space="preserve">3. </w:t>
      </w:r>
      <w:r>
        <w:rPr>
          <w:rFonts w:ascii="Calibri" w:hAnsi="Calibri"/>
          <w:b w:val="0"/>
          <w:color w:val="3A4A28"/>
          <w:sz w:val="17"/>
        </w:rPr>
        <w:t>Great Place to Work — COPT Defense Properties LP certification,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COPT Defense Properties corporate website — Company and Leadership, accessed May 2026</w:t>
      </w:r>
    </w:p>
    <w:p>
      <w:pPr>
        <w:spacing w:before="20" w:after="20"/>
        <w:ind w:left="170"/>
      </w:pPr>
      <w:r>
        <w:rPr>
          <w:rFonts w:ascii="Calibri" w:hAnsi="Calibri"/>
          <w:b/>
          <w:color w:val="4A6B25"/>
          <w:sz w:val="15"/>
        </w:rPr>
        <w:t xml:space="preserve">5. </w:t>
      </w:r>
      <w:r>
        <w:rPr>
          <w:rFonts w:ascii="Calibri" w:hAnsi="Calibri"/>
          <w:b w:val="0"/>
          <w:color w:val="3A4A28"/>
          <w:sz w:val="17"/>
        </w:rPr>
        <w:t>COPT Defense Properties Sustainability and GRESB reporting, accessed May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CDP Leadership and Management Team Analysis, accessed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CDP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