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CDXS</w:t>
      </w:r>
      <w:r>
        <w:rPr>
          <w:rFonts w:ascii="Calibri" w:hAnsi="Calibri"/>
          <w:b/>
          <w:color w:val="1A2010"/>
          <w:sz w:val="40"/>
        </w:rPr>
        <w:t xml:space="preserve">  Codexis, Inc.</w:t>
      </w:r>
    </w:p>
    <w:p>
      <w:pPr>
        <w:spacing w:after="120"/>
      </w:pPr>
      <w:r>
        <w:rPr>
          <w:rFonts w:ascii="Calibri" w:hAnsi="Calibri"/>
          <w:b/>
          <w:color w:val="6E8450"/>
          <w:sz w:val="18"/>
        </w:rPr>
        <w:t>GROWTH SLEEVE · 2026-04-15 · Inspire: 66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Codexis is a protein-engineering company whose CodeEvolver platform produces designer enzymes for pharmaceutical, food, and medical applications. The company is now concentrated on the ECO Synthesis platform for enzymatic siRNA and oligonucleotide manufacturing, with Merck as a key partner via a $37.8M Supply Assurance Agreement.</w:t>
      </w:r>
    </w:p>
    <w:p>
      <w:r>
        <w:rPr>
          <w:rFonts w:ascii="Calibri" w:hAnsi="Calibri"/>
          <w:b/>
          <w:color w:val="6E8450"/>
          <w:sz w:val="18"/>
        </w:rPr>
        <w:t>https://www.codexis.com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Q4 2025 revenue of $38.92M (+81% YoY) and full-year 2025 revenue of $70.39M with a return to Q4 net income of $9.6M marks a genuine inflection, aided by a Merck technology-transfer agreement [1][2]. Codexis is a three-time Presidential Green Chemistry Challenge Award winner (2006, 2010, 2012) for enzymatic routes that replaced metal-catalyst chemistry in sitagliptin and Lipitor manufacturing [4]. AI Deployment (2/2): The CodeEvolver platform is a machine-learning-driven directed-evolution platform that designs proprietary enzymes — this is AI applied to biology, and it is core to the product [3]. Market Share (1/2): Codexis holds a leading position in pharma biocatalysis but is a small player in the emerging enzymatic oligonucleotide manufacturing market where traditional phosphoramidite synthesis still dominates [1][3]. Pipeline (1/2): ECO Synthesis has progressed from 10-gram to 100-gram siRNA batches with kilogram-scale on the roadmap; 2026 revenue guide of $72–76M is above consensus of $67.3M [1]. R&amp;D Intensity (1/1): Codexis invests heavily in ECO Synthesis and enzyme engineering relative to its ~$70M revenue base, though a 24% workforce reduction in late 2025 focused spend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Codexis's mission — replace wasteful, metal-catalyst organic chemistry with cleaner enzymatic processes — is validated by three Presidential Green Chemistry Awards and concrete environmental benefits (waste reduction, no metal catalysts, less solvent) [4]. Community Impact (2/2): Inspire Insight assigns +66 (the highest in this batch) with 13 positive attributions including GHG Emissions, Water Conservation, Materials Efficiency, and Product Sustainability [CSV]. The ECO Synthesis platform is directly aligned with reducing manufacturing waste for RNA medicines [3][4]. Employee Retention (0/2): 24% workforce reduction in late 2025 concurrent with the CEO transition signals organizational stress, and Glassdoor data was not prominently available [3]. Insider Buying (1/2): New CEO Alison Moore's hiring from Amgen/Allogene and the concurrent $37.8M non-dilutive Merck Supply Assurance Agreement suggest management alignment, though no disclosed open-market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cleared: 2.36M avg volume x $2.37 ≈ $5.6M daily turnover [5]. Revenue growth is exceptional at +81% TTM (yfinance) / 81% Q4 YoY per the company, driven by the Merck technology transfer [1][5]. However, profit margin of -62.5%, ROE of -74.9%, and a negative forward P/E of -10.8x reflect deep unprofitability that even the 2026 $72–76M revenue guide only partially addresses [1][5]. Debt-to-equity of 144.9% and a $215M market cap, combined with $78.2M cash and runway only through 2027, means the investment case rests on a narrow 18–24 month execution window before additional financing is required [1][5]. A 24% workforce cut in late 2025 was necessary to stretch runway — a restructuring signal.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Codexis's green-chemistry mission and multi-decade Merck partnership reflect infinite-game origins, but the recent 24% workforce cut, CEO change, and narrow cash runway through 2027 mean the company is currently fighting for survival rather than playing the long game from a position of strength. The strategic concentration on ECO Synthesis is correct, but execution has to work within a tight window.</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Replacing wasteful metal-catalyst chemistry with cleaner enzymatic processes to make medicines more sustainable is a genuine cause validated by three Presidential Green Chemistry Awards [4]. The extension to enzymatic RNA medicine manufacturing (ECO Synthesis) carries the mission into a next-generation therapeutic modality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24% workforce reduction in late 2025 concurrent with the CEO transition is inherently corrosive to trust, even if strategically necessary [3]. New CEO Alison Moore brings Amgen/Allogene biomanufacturing credibility, and the HR leadership team is focused on rebuilding culture, but these are forward-looking efforts [2][3].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Codexis operates in a category with clear rivals — phosphoramidite synthesis CDMOs (Nitto Denko Avecia, Agilent, Ajinomoto Bio-Pharma) dominate current siRNA manufacturing, and AI protein-design peers (Generate:Biomedicines, Isomorphic, Profluent) are emerging. Codexis's strategy of concentrating on ECO Synthesis against these rivals is explicit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broad biocatalysis services to ECO Synthesis concentration, combined with a 24% workforce cut, new CEO, and $37.8M Merck non-dilutive funding, is a genuine strategic restructuring [3]. It is pivot-under-pressure rather than proactive flexibility, but the direction is appropriate.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Choosing to concentrate on ECO Synthesis and cut 24% of the workforce is courageous capital allocation, but the need for these actions reflects prior strategic drift rather than bold foresight [3]. The narrow cash runway limits future optionality.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Codexis is a small-cap ($215M) protein-engineering company executing a focused strategic concentration on the ECO Synthesis enzymatic siRNA manufacturing platform, backed by Merck via a $37.8M non-dilutive Supply Assurance Agreement [1][3]. FY2025 revenue reached $70.39M with Q4 revenue of $38.92M (+81% YoY) and a return to Q4 net income of $9.6M, and management guides 2026 revenue to $72–76M, above the $67.3M consensus [1]. The company achieved a technical milestone scaling siRNA synthesis from 10g to 100g batches with kilogram-scale on the roadmap, validating the ECO Synthesis platform commercially [1]. Codexis's three-time Presidential Green Chemistry Challenge Award history and +66 Inspire Impact Score (the highest in this batch, with 13 positive attributions) make it one of the more mission-aligned biotech holdings available [4][CSV].</w:t>
      </w:r>
    </w:p>
    <w:p>
      <w:pPr>
        <w:spacing w:after="120"/>
      </w:pPr>
      <w:r>
        <w:rPr>
          <w:rFonts w:ascii="Calibri" w:hAnsi="Calibri"/>
          <w:b w:val="0"/>
          <w:color w:val="3A4A28"/>
          <w:sz w:val="20"/>
        </w:rPr>
        <w:t>The bear case is execution risk within a narrow window. Profit margin of -62.5%, ROE of -74.9%, and $78.2M cash providing runway only through 2027 mean Codexis has roughly 18–24 months to prove ECO Synthesis at scale before needing additional capital [1][5]. A 24% workforce reduction in late 2025, concurrent with the CEO transition from Dr. Stephen Dilly to Alison Moore, signals the urgency [3]. Traditional phosphoramidite synthesis CDMOs (Nitto Denko Avecia, Agilent, Ajinomoto Bio-Pharma) remain dominant in oligonucleotide manufacturing, and enzymatic synthesis must prove both cost and quality advantages at kilogram scale. The $2.37 share price and $215M market cap reflect the market's discount for this execution risk; upside is meaningful if ECO Synthesis lands additional CDMO partnerships, but dilution risk is real if milestones slip.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ECO Synthesis scale-up from 100g to kilogram-scale siRNA batches would validate enzymatic manufacturing economics and could unlock multi-year CDMO partnerships [1][3]</w:t>
      </w:r>
    </w:p>
    <w:p>
      <w:pPr>
        <w:spacing w:before="40" w:after="40"/>
        <w:ind w:left="283"/>
      </w:pPr>
      <w:r>
        <w:rPr>
          <w:rFonts w:ascii="Calibri" w:hAnsi="Calibri"/>
          <w:b/>
          <w:color w:val="4A6B25"/>
          <w:sz w:val="20"/>
        </w:rPr>
        <w:t xml:space="preserve">2. </w:t>
      </w:r>
      <w:r>
        <w:rPr>
          <w:rFonts w:ascii="Calibri" w:hAnsi="Calibri"/>
          <w:b w:val="0"/>
          <w:color w:val="3A4A28"/>
          <w:sz w:val="20"/>
        </w:rPr>
        <w:t>Additional non-dilutive supply or licensing deals similar to the $37.8M Merck Supply Assurance Agreement would extend cash runway beyond 2027 and prove customer demand [3]</w:t>
      </w:r>
    </w:p>
    <w:p>
      <w:pPr>
        <w:spacing w:before="40" w:after="40"/>
        <w:ind w:left="283"/>
      </w:pPr>
      <w:r>
        <w:rPr>
          <w:rFonts w:ascii="Calibri" w:hAnsi="Calibri"/>
          <w:b/>
          <w:color w:val="4A6B25"/>
          <w:sz w:val="20"/>
        </w:rPr>
        <w:t xml:space="preserve">3. </w:t>
      </w:r>
      <w:r>
        <w:rPr>
          <w:rFonts w:ascii="Calibri" w:hAnsi="Calibri"/>
          <w:b w:val="0"/>
          <w:color w:val="3A4A28"/>
          <w:sz w:val="20"/>
        </w:rPr>
        <w:t>2026 revenue guide of $72–76M (above $67.3M consensus) executing on high end would signal durable growth inflection beyond the one-time Merck technology-transfer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only through 2027 means any ECO Synthesis delay or missed milestone could force dilutive financing at a depressed $215M market cap [1][5]</w:t>
      </w:r>
    </w:p>
    <w:p>
      <w:pPr>
        <w:spacing w:before="40" w:after="40"/>
        <w:ind w:left="283"/>
      </w:pPr>
      <w:r>
        <w:rPr>
          <w:rFonts w:ascii="Calibri" w:hAnsi="Calibri"/>
          <w:b/>
          <w:color w:val="4A6B25"/>
          <w:sz w:val="20"/>
        </w:rPr>
        <w:t xml:space="preserve">2. </w:t>
      </w:r>
      <w:r>
        <w:rPr>
          <w:rFonts w:ascii="Calibri" w:hAnsi="Calibri"/>
          <w:b w:val="0"/>
          <w:color w:val="3A4A28"/>
          <w:sz w:val="20"/>
        </w:rPr>
        <w:t>Competitive displacement — traditional phosphoramidite CDMOs (Nitto Denko Avecia, Agilent, Ajinomoto Bio-Pharma) and AI protein design rivals (Generate:Biomedicines, Isomorphic, Profluent) could capture enzymatic siRNA demand before Codexis scales [3]</w:t>
      </w:r>
    </w:p>
    <w:p>
      <w:pPr>
        <w:spacing w:before="40" w:after="40"/>
        <w:ind w:left="283"/>
      </w:pPr>
      <w:r>
        <w:rPr>
          <w:rFonts w:ascii="Calibri" w:hAnsi="Calibri"/>
          <w:b/>
          <w:color w:val="4A6B25"/>
          <w:sz w:val="20"/>
        </w:rPr>
        <w:t xml:space="preserve">3. </w:t>
      </w:r>
      <w:r>
        <w:rPr>
          <w:rFonts w:ascii="Calibri" w:hAnsi="Calibri"/>
          <w:b w:val="0"/>
          <w:color w:val="3A4A28"/>
          <w:sz w:val="20"/>
        </w:rPr>
        <w:t>Execution transition risk — new CEO Alison Moore and 24% workforce reduction in late 2025 introduce organizational disruption during the most critical commercialization window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Codexis's CodeEvolver platform uses machine learning to guide directed enzyme evolution — AI is a positive input, not a threat [3]. The product (custom enzymes manufactured physically and delivered into pharma supply chains, backed by regulatory filings) cannot be generated by a prompt, giving Codexis a durable defensive moat against generative AI disruption. AI Opportunity (1/1): Adjacent AI-driven protein design peers (Generate:Biomedicines, Isomorphic Labs, Cradle, Profluent) validate the category and could become partners or acquirers; Codexis's advantage is a 20-year dataset of directed evolution outcomes that AI peers do not yet have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Codexis Q4 2025 and FY2025 Earnings Release — $38.92M Q4 revenue (+81% YoY), $70.39M FY2025 revenue, Q4 net income $9.6M, StockTitan / GuruFocus, March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Nasdaq — Codexis 2026 revenue guide $72–76M, $78.2M cash through 2027, ECO Synthesis 10g→100g milestone, March 2026</w:t>
      </w:r>
    </w:p>
    <w:p>
      <w:pPr>
        <w:spacing w:before="20" w:after="20"/>
        <w:ind w:left="170"/>
      </w:pPr>
      <w:r>
        <w:rPr>
          <w:rFonts w:ascii="Calibri" w:hAnsi="Calibri"/>
          <w:b/>
          <w:color w:val="4A6B25"/>
          <w:sz w:val="15"/>
        </w:rPr>
        <w:t xml:space="preserve">3. </w:t>
      </w:r>
      <w:r>
        <w:rPr>
          <w:rFonts w:ascii="Calibri" w:hAnsi="Calibri"/>
          <w:b w:val="0"/>
          <w:color w:val="3A4A28"/>
          <w:sz w:val="17"/>
        </w:rPr>
        <w:t>Panabee / Quiver Quantitative — Codexis CEO transition to Alison Moore, 24% workforce reduction, $37.8M Merck Supply Assurance Agreement, November 2025</w:t>
      </w:r>
    </w:p>
    <w:p>
      <w:pPr>
        <w:spacing w:before="20" w:after="20"/>
        <w:ind w:left="170"/>
      </w:pPr>
      <w:r>
        <w:rPr>
          <w:rFonts w:ascii="Calibri" w:hAnsi="Calibri"/>
          <w:b/>
          <w:color w:val="4A6B25"/>
          <w:sz w:val="15"/>
        </w:rPr>
        <w:t xml:space="preserve">4. </w:t>
      </w:r>
      <w:r>
        <w:rPr>
          <w:rFonts w:ascii="Calibri" w:hAnsi="Calibri"/>
          <w:b w:val="0"/>
          <w:color w:val="3A4A28"/>
          <w:sz w:val="17"/>
        </w:rPr>
        <w:t>EPA Presidential Green Chemistry Challenge Awards — Codexis 2006, 2010, 2012 for sitagliptin and Lipitor enzymatic processes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CDXS (Codexis), retrieved April 15,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