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CENN</w:t>
      </w:r>
      <w:r>
        <w:rPr>
          <w:rFonts w:ascii="Calibri" w:hAnsi="Calibri"/>
          <w:b/>
          <w:color w:val="1A2010"/>
          <w:sz w:val="40"/>
        </w:rPr>
        <w:t xml:space="preserve">  Cenntro Inc.</w:t>
      </w:r>
    </w:p>
    <w:p>
      <w:pPr>
        <w:spacing w:after="120"/>
      </w:pPr>
      <w:r>
        <w:rPr>
          <w:rFonts w:ascii="Calibri" w:hAnsi="Calibri"/>
          <w:b/>
          <w:color w:val="6E8450"/>
          <w:sz w:val="18"/>
        </w:rPr>
        <w:t>GROWTH SLEEVE · 2026-04-14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China / United States</w:t>
      </w:r>
    </w:p>
    <w:p>
      <w:pPr>
        <w:spacing w:after="80"/>
      </w:pPr>
      <w:r>
        <w:rPr>
          <w:rFonts w:ascii="Calibri" w:hAnsi="Calibri"/>
          <w:b w:val="0"/>
          <w:color w:val="3A4A28"/>
          <w:sz w:val="20"/>
        </w:rPr>
        <w:t>Cenntro Inc. designs and manufactures all-electric light- and medium-duty commercial vehicles, including the Logistar series and Metro vans, plus the iChassis autonomous vehicle platform. Founded by Peter Wang and listed on Nasdaq in December 2021, the company sells primarily into Asia, Europe, and the U.S. through third-party contractors and distributors.</w:t>
      </w:r>
    </w:p>
    <w:p>
      <w:r>
        <w:rPr>
          <w:rFonts w:ascii="Calibri" w:hAnsi="Calibri"/>
          <w:b/>
          <w:color w:val="6E8450"/>
          <w:sz w:val="18"/>
        </w:rPr>
        <w:t>450 Employees · https://cenntroauto.com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iChassis 100 autonomous vehicle platform delivered 1,000+ units in 2024 [3] is a meaningful product extension, but core unit sales remain small (1,122 total vehicles in 2024). AI Deployment (1/2): Autonomous driving software is integrated into iChassis vehicles delivered to Chinese contractors [3], but no specific revenue or margin disclosure isolates AI contribution. Market Share Leadership (0/2): Cenntro is a sub-scale niche player vs. dominant Chinese EV OEMs (BYD, Geely, JAC) and Western commercial EV peers. Product Pipeline (1/2): Specific orders booked — 500 Metro MR vehicles for Japan and 200 Logistar 450P vans for QEV Technologies in Spain [1][3] — but pipeline is still modest. R&amp;D Intensity (1/1): R&amp;D spend is meaningful relative to the small revenue base, though that reflects sub-scale rather than peer-leading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Cenntro states a mission to 'lead the global commercial EV market with smart, sustainable transportation' — clear but generic for the EV category. Community Impact (0/2): No evidence of distinctive community or charitable programs surfaced in research. Employee Retention (0/2): No retention data available; the company is too small and recently public for meaningful tenure metrics. Insider Buying (1/2): CEO Peter Wang remains a principal shareholder through Cenntro Enterprise Limited [2], providing meaningful insider alignment, but no notable open-market buying activity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Avg daily volume 42,147 × stock price $4.00 = $168,588 in daily traded value, well below the $1,000,000 minimum required for IOWN to trade [yfinance]. Per the SCREENING.md rubric, Infrastructure score is forced to 0 regardless of all other metrics. For reference, the underlying financial picture is also weak: D/E 21.5%, ROE -38.5%, profit margin -214%, revenue -72% YoY, no Forward P/E (not profitable). Even absent the liquidity floor, the mechanical Growth-stock score would be very low. The stock is functionally untradable for an institutional 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Cenntro shows finite-game stress signals: thin liquidity, sub-scale revenue, listing-compliance issues (180-day extension granted to meet Nasdaq requirements), and a perpetually shifting product/geography focus. Founder-CEO Peter Wang's long tenure provides some continuity but the small scale and going-concern signals dominate.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'sustainable commercial EV' positioning is genuine but indistinguishable from any other EV company. Strategy has shifted multiple times across geographies and segments without clear conviction.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retention or tenure data available; the small organization has been through significant changes since the 2021 IPO. Insufficient evidence of a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explicit acknowledgement of rival strengths or learning from competitors in management commentary.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Cenntro has pivoted across U.S., European, Japanese, and Chinese markets and added autonomous capabilities — flexibility is present, but driven by survival rather than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costly long-term capability bets. The company has been in survival mode managing share price and Nasdaq listing requirements rather than making bold strategic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bull case for Cenntro rests on the autonomous commercial EV opportunity. The iChassis 100 platform delivered 1,000+ autonomous units to Chinese contractors in 2024 [3], 2024 full-year revenue grew 200% to $31.3M, and 2025 secured large international orders — 500 vehicles for Japan and 200 for Spain [1]. Founder-CEO Peter Wang has 12+ years building Cenntro and previously took UTStarcom public in 2000 [2], giving him real operating credentials. EBITDA losses narrowed in Q1 2025 vs. prior year, suggesting some operational discipline.</w:t>
      </w:r>
    </w:p>
    <w:p>
      <w:pPr>
        <w:spacing w:after="120"/>
      </w:pPr>
      <w:r>
        <w:rPr>
          <w:rFonts w:ascii="Calibri" w:hAnsi="Calibri"/>
          <w:b w:val="0"/>
          <w:color w:val="3A4A28"/>
          <w:sz w:val="20"/>
        </w:rPr>
        <w:t>The bear case is overwhelming. CENN fails the IOWN liquidity floor — daily traded value of ~$168K is well below the $1M minimum, making the stock effectively untradable for any institutional book. Q1 2025 revenue actually declined 8.5% YoY to $2.1M [1], profit margin is -214%, ROE is -38.5%, and the company has been granted a 180-day Nasdaq listing extension — a classic delisting risk signal. With a $352M market cap on $18.5M trailing revenue, the stock trades at extreme valuation while losing money. The autonomous EV opportunity is real but Cenntro is competing against far larger and better-capitalized players. Avoid.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Delivery of the 500-unit Metro MR Japan order and 200-unit Spain Logistar order in 2025-2026</w:t>
      </w:r>
    </w:p>
    <w:p>
      <w:pPr>
        <w:spacing w:before="40" w:after="40"/>
        <w:ind w:left="283"/>
      </w:pPr>
      <w:r>
        <w:rPr>
          <w:rFonts w:ascii="Calibri" w:hAnsi="Calibri"/>
          <w:b/>
          <w:color w:val="4A6B25"/>
          <w:sz w:val="20"/>
        </w:rPr>
        <w:t xml:space="preserve">2. </w:t>
      </w:r>
      <w:r>
        <w:rPr>
          <w:rFonts w:ascii="Calibri" w:hAnsi="Calibri"/>
          <w:b w:val="0"/>
          <w:color w:val="3A4A28"/>
          <w:sz w:val="20"/>
        </w:rPr>
        <w:t>Continued ramp of autonomous iChassis platform deliveries in China</w:t>
      </w:r>
    </w:p>
    <w:p>
      <w:pPr>
        <w:spacing w:before="40" w:after="40"/>
        <w:ind w:left="283"/>
      </w:pPr>
      <w:r>
        <w:rPr>
          <w:rFonts w:ascii="Calibri" w:hAnsi="Calibri"/>
          <w:b/>
          <w:color w:val="4A6B25"/>
          <w:sz w:val="20"/>
        </w:rPr>
        <w:t xml:space="preserve">3. </w:t>
      </w:r>
      <w:r>
        <w:rPr>
          <w:rFonts w:ascii="Calibri" w:hAnsi="Calibri"/>
          <w:b w:val="0"/>
          <w:color w:val="3A4A28"/>
          <w:sz w:val="20"/>
        </w:rPr>
        <w:t>Path to positive adjusted EBITDA as operating costs are reduced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$168K daily traded value makes the stock untradable for institutional books</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company granted a 180-day extension to meet listing requirements</w:t>
      </w:r>
    </w:p>
    <w:p>
      <w:pPr>
        <w:spacing w:before="40" w:after="40"/>
        <w:ind w:left="283"/>
      </w:pPr>
      <w:r>
        <w:rPr>
          <w:rFonts w:ascii="Calibri" w:hAnsi="Calibri"/>
          <w:b/>
          <w:color w:val="4A6B25"/>
          <w:sz w:val="20"/>
        </w:rPr>
        <w:t xml:space="preserve">3. </w:t>
      </w:r>
      <w:r>
        <w:rPr>
          <w:rFonts w:ascii="Calibri" w:hAnsi="Calibri"/>
          <w:b w:val="0"/>
          <w:color w:val="3A4A28"/>
          <w:sz w:val="20"/>
        </w:rPr>
        <w:t>Continued cash burn and ~$215% negative profit margin point to potential dilution or going-concern issues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Building physical EVs is not directly disrupted by AI — manufacturing, batteries, and chassis remain hardware businesses [3]. However, AI-driven autonomy is a competitive battleground where larger Chinese and Western players (Tesla, BYD, Waymo) have far more capital and data. Cenntro's iChassis autonomous platform is real but sub-scale. AI Opportunity (1/1): Cenntro generates revenue from autonomous driving products via iChassis platform deliveries to Chinese contractors [3], qualifying for the tiebreaker.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Cenntro Q1 2025 Financial Results, May 16, 2025 (BusinessWire)</w:t>
      </w:r>
    </w:p>
    <w:p>
      <w:pPr>
        <w:spacing w:before="20" w:after="20"/>
        <w:ind w:left="170"/>
      </w:pPr>
      <w:r>
        <w:rPr>
          <w:rFonts w:ascii="Calibri" w:hAnsi="Calibri"/>
          <w:b/>
          <w:color w:val="4A6B25"/>
          <w:sz w:val="15"/>
        </w:rPr>
        <w:t xml:space="preserve">2. </w:t>
      </w:r>
      <w:r>
        <w:rPr>
          <w:rFonts w:ascii="Calibri" w:hAnsi="Calibri"/>
          <w:b w:val="0"/>
          <w:color w:val="3A4A28"/>
          <w:sz w:val="17"/>
        </w:rPr>
        <w:t>Peter Wang management bio — ir.cenntroauto.com,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Cenntro Completes Delivery of 1,000+ Autonomous Vehicles with iChassis Platform, February 2025 (BusinessWire); Cenntro Full Year 2024 Financial Results, April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