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CENX</w:t>
      </w:r>
      <w:r>
        <w:rPr>
          <w:rFonts w:ascii="Calibri" w:hAnsi="Calibri"/>
          <w:b/>
          <w:color w:val="1A2010"/>
          <w:sz w:val="40"/>
        </w:rPr>
        <w:t xml:space="preserve">  Century Aluminum Company</w:t>
      </w:r>
    </w:p>
    <w:p>
      <w:pPr>
        <w:spacing w:after="120"/>
      </w:pPr>
      <w:r>
        <w:rPr>
          <w:rFonts w:ascii="Calibri" w:hAnsi="Calibri"/>
          <w:b/>
          <w:color w:val="6E8450"/>
          <w:sz w:val="18"/>
        </w:rPr>
        <w:t>GROWTH SLEEVE · 2026-04-14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Aluminum · NASDAQ · United States</w:t>
      </w:r>
    </w:p>
    <w:p>
      <w:pPr>
        <w:spacing w:after="80"/>
      </w:pPr>
      <w:r>
        <w:rPr>
          <w:rFonts w:ascii="Calibri" w:hAnsi="Calibri"/>
          <w:b w:val="0"/>
          <w:color w:val="3A4A28"/>
          <w:sz w:val="20"/>
        </w:rPr>
        <w:t>Century Aluminum is the largest producer of primary aluminum in the United States, with integrated bauxite, alumina, and primary aluminum operations. The company operates smelters in Kentucky, South Carolina, and Iceland, and is developing a major new greenfield smelter in Oklahoma in joint venture with Emirates Global Aluminium.</w:t>
      </w:r>
    </w:p>
    <w:p>
      <w:r>
        <w:rPr>
          <w:rFonts w:ascii="Calibri" w:hAnsi="Calibri"/>
          <w:b/>
          <w:color w:val="6E8450"/>
          <w:sz w:val="18"/>
        </w:rPr>
        <w:t>2,400 Employees · https://www.centuryaluminum.com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Major strategic pivot under CEO Jesse Gary toward 'America First' with the January 2026 Oklahoma greenfield smelter JV with EGA — first new US primary aluminum smelter since 1980, backed by a $500M DOE grant[1]. Sale of curtailed Hawesville smelter for $200M with 6.8% retained equity in AI data center redevelopment shows creative capital reallocation[2]. AI Deployment (1/2): No internal AI deployment evident, but Hawesville→AI data center redevelopment is an indirect AI tailwind[2]. Market Share Leadership (2/2): Largest US primary aluminum producer in a structurally constrained domestic market[3]. Product Pipeline (0/2): Oklahoma smelter is a multi-year build with no near-term revenue visibility. R&amp;D Intensity (0/1): Commodity producer with minimal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Century positions itself around domestic aluminum production for national security and supply-chain resilience — Gary publicly warns 'aluminum supply chain so thin a single fire could trigger nationwide crisis'[2]. Clear but framed primarily as policy advocacy rather than transformative purpose. Community Impact (1/2): Operates in distressed industrial communities (Kentucky, South Carolina) providing meaningful blue-collar employment. Employee Retention (1/2): Highly unionized smelter workforce with multi-decade operations; no standout retention data. Insider Buying (0/2): No meaningful insider buying data found in searches; no notable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61.6% scores 1.0 (below 70% target). ROE 1.6% scores 0.11. Revenue Growth YoY 0.4% scores 0.68 (between -20% floor and 10% target). Revenue Growth 5yr CAGR ~0% scores 0.33. Forward P/E 7.3 scores 1.0 (well below 20). Profit Margin 1.6% scores 0.08. Forward PEG ~0.5 scores 1.0 (well below 1.0 target on rebound EPS). Weighted: D/E 1.0 (1x) + ROE 0.11 (2x=0.22) + RevYoY 0.68 (1x) + Rev5yr 0.33 (2x=0.66) + FwdPE 1.0 (1x) + Margin 0.08 (1x) + FwdPEG 1.0 (2x=2.0) = 5.64 / 10 = 5.6 -&gt; rounds to 5. Liquidity: 2.46M x $67.94 = $167.2M passes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Century Aluminum demonstrates infinite-game thinking through the multi-decade Oklahoma smelter bet and the strategic Hawesville-to-AI conversion, but commodity exposure and dependence on tariff policy temper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 pt). National security framing for domestic aluminum production is genuine but reads as policy positioning. Connection to a transformative future state is more about industry survival than reimagining[2].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Stable unionized workforce with multi-decade smelter operations; no standout retention data either way.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 pt). Gary's framing emphasizes beating Chinese imports through tariffs rather than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Repositioning the Hawesville site from aluminum to AI data center hosting (with retained equity) shows willingness to monetize legacy assets creatively[2]. Oklahoma JV with EGA also represents partnership-driven scale-up.</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Committing to a multi-billion-dollar Oklahoma greenfield smelter (first since 1980) is a long-duration bet that won't generate revenue for years[1]. Selling a legacy smelter for AI data center redevelopment shows strategic discipline[2].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Century Aluminum is the largest US primary aluminum producer at the center of an aluminum renaissance driven by 50% tariffs on imported aluminum, AI data center demand, and a structurally constrained domestic supply picture[3]. Q4 2025 adjusted EBITDA of $171M (+$70M sequentially) and Q1 2026 guidance of $215-235M reflect rapidly improving operating leverage[1]. The Oklahoma greenfield JV with EGA — first new US primary aluminum smelter since 1980, backed by a $500M DOE grant — positions Century to roughly double US capacity over the next decade[1]. The Hawesville sale for $200M with 6.8% retained equity in AI data center redevelopment converts a stranded asset into AI-linked optionality[2]. Forward P/E of 7.3 and PEG of ~0.5 are deeply attractive on rebound EPS.</w:t>
      </w:r>
    </w:p>
    <w:p>
      <w:pPr>
        <w:spacing w:after="120"/>
      </w:pPr>
      <w:r>
        <w:rPr>
          <w:rFonts w:ascii="Calibri" w:hAnsi="Calibri"/>
          <w:b w:val="0"/>
          <w:color w:val="3A4A28"/>
          <w:sz w:val="20"/>
        </w:rPr>
        <w:t>However, primary aluminum is a commodity business with brutal cyclicality — Q4 2025 EPS of $0.02 missed analyst estimates of $1.28 by an enormous margin, and trailing-12M revenue is still down 2.7% from three years ago. Profitability remains thin (1.6% net margin, 1.6% ROE) and the bull case depends heavily on tariff persistence and aluminum price strength. The Oklahoma smelter is a multi-year build with execution and capital risk. Bear case: aluminum prices roll over, tariffs are softened in a future administration, and the Oklahoma project encounters cost overruns. The stock has already run +26.5% in 7 days reflecting much of the optimistic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guidance of $215-235M adjusted EBITDA implies major sequential improvement</w:t>
      </w:r>
    </w:p>
    <w:p>
      <w:pPr>
        <w:spacing w:before="40" w:after="40"/>
        <w:ind w:left="283"/>
      </w:pPr>
      <w:r>
        <w:rPr>
          <w:rFonts w:ascii="Calibri" w:hAnsi="Calibri"/>
          <w:b/>
          <w:color w:val="4A6B25"/>
          <w:sz w:val="20"/>
        </w:rPr>
        <w:t xml:space="preserve">2. </w:t>
      </w:r>
      <w:r>
        <w:rPr>
          <w:rFonts w:ascii="Calibri" w:hAnsi="Calibri"/>
          <w:b w:val="0"/>
          <w:color w:val="3A4A28"/>
          <w:sz w:val="20"/>
        </w:rPr>
        <w:t>Oklahoma greenfield smelter JV with EGA backed by $500M DOE grant — first new US smelter since 1980</w:t>
      </w:r>
    </w:p>
    <w:p>
      <w:pPr>
        <w:spacing w:before="40" w:after="40"/>
        <w:ind w:left="283"/>
      </w:pPr>
      <w:r>
        <w:rPr>
          <w:rFonts w:ascii="Calibri" w:hAnsi="Calibri"/>
          <w:b/>
          <w:color w:val="4A6B25"/>
          <w:sz w:val="20"/>
        </w:rPr>
        <w:t xml:space="preserve">3. </w:t>
      </w:r>
      <w:r>
        <w:rPr>
          <w:rFonts w:ascii="Calibri" w:hAnsi="Calibri"/>
          <w:b w:val="0"/>
          <w:color w:val="3A4A28"/>
          <w:sz w:val="20"/>
        </w:rPr>
        <w:t>Hawesville smelter sale for $200M plus 6.8% equity in AI data center redevelopment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2025 EPS of $0.02 vs $1.28 expected — extreme operational volatility</w:t>
      </w:r>
    </w:p>
    <w:p>
      <w:pPr>
        <w:spacing w:before="40" w:after="40"/>
        <w:ind w:left="283"/>
      </w:pPr>
      <w:r>
        <w:rPr>
          <w:rFonts w:ascii="Calibri" w:hAnsi="Calibri"/>
          <w:b/>
          <w:color w:val="4A6B25"/>
          <w:sz w:val="20"/>
        </w:rPr>
        <w:t xml:space="preserve">2. </w:t>
      </w:r>
      <w:r>
        <w:rPr>
          <w:rFonts w:ascii="Calibri" w:hAnsi="Calibri"/>
          <w:b w:val="0"/>
          <w:color w:val="3A4A28"/>
          <w:sz w:val="20"/>
        </w:rPr>
        <w:t>Pure commodity exposure to LME aluminum prices and Midwest premium</w:t>
      </w:r>
    </w:p>
    <w:p>
      <w:pPr>
        <w:spacing w:before="40" w:after="40"/>
        <w:ind w:left="283"/>
      </w:pPr>
      <w:r>
        <w:rPr>
          <w:rFonts w:ascii="Calibri" w:hAnsi="Calibri"/>
          <w:b/>
          <w:color w:val="4A6B25"/>
          <w:sz w:val="20"/>
        </w:rPr>
        <w:t xml:space="preserve">3. </w:t>
      </w:r>
      <w:r>
        <w:rPr>
          <w:rFonts w:ascii="Calibri" w:hAnsi="Calibri"/>
          <w:b w:val="0"/>
          <w:color w:val="3A4A28"/>
          <w:sz w:val="20"/>
        </w:rPr>
        <w:t>Tariff policy is the central earnings driver and could be reversed in future administration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Primary aluminum smelting is the textbook IMMUNE business — physical-world heavy industry that AI structurally cannot displace. AI cannot smelt bauxite into aluminum. More importantly, AI is a positive demand driver: AI data centers consume massive amounts of aluminum (cooling, racks, transmission lines, chip packaging) and require domestic supply chains. Hawesville smelter being redeveloped into an AI data center hub is a concrete example of AI demand for Century's underlying assets[2]. Analysts cite AI/data center build-out as a structural tailwind. AI Opportunity (1/1): Hawesville sale for $200M plus 6.8% retained equity in AI data center redevelopment generates AI-linked value[2].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Century Aluminum Q4 2025 Earnings Release and Conference Call, February 2026</w:t>
      </w:r>
    </w:p>
    <w:p>
      <w:pPr>
        <w:spacing w:before="20" w:after="20"/>
        <w:ind w:left="170"/>
      </w:pPr>
      <w:r>
        <w:rPr>
          <w:rFonts w:ascii="Calibri" w:hAnsi="Calibri"/>
          <w:b/>
          <w:color w:val="4A6B25"/>
          <w:sz w:val="15"/>
        </w:rPr>
        <w:t xml:space="preserve">2. </w:t>
      </w:r>
      <w:r>
        <w:rPr>
          <w:rFonts w:ascii="Calibri" w:hAnsi="Calibri"/>
          <w:b w:val="0"/>
          <w:color w:val="3A4A28"/>
          <w:sz w:val="17"/>
        </w:rPr>
        <w:t>Century Aluminum CEO Jesse Gary commentary on Hawesville-to-AI conversion and America First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Industry analysis: aluminum tariffs, supply disruption, and Oklahoma JV, March-April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