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CERS</w:t>
      </w:r>
      <w:r>
        <w:rPr>
          <w:rFonts w:ascii="Calibri" w:hAnsi="Calibri"/>
          <w:b/>
          <w:color w:val="1A2010"/>
          <w:sz w:val="40"/>
        </w:rPr>
        <w:t xml:space="preserve">  Cerus Corporation</w:t>
      </w:r>
    </w:p>
    <w:p>
      <w:pPr>
        <w:spacing w:after="120"/>
      </w:pPr>
      <w:r>
        <w:rPr>
          <w:rFonts w:ascii="Calibri" w:hAnsi="Calibri"/>
          <w:b/>
          <w:color w:val="6E8450"/>
          <w:sz w:val="18"/>
        </w:rPr>
        <w:t>GROWTH SLEEVE · 2026-04-23 · Inspire: 51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Cerus Corporation develops and commercializes the INTERCEPT Blood System, a proprietary pathogen reduction technology designed to enhance blood safety by inactivating blood-borne pathogens in donated blood components intended for transfusion. Products include INTERCEPT systems for platelets, plasma, cryoprecipitation, and red blood cells, sold globally through direct sales and distributors.</w:t>
      </w:r>
    </w:p>
    <w:p>
      <w:r>
        <w:rPr>
          <w:rFonts w:ascii="Calibri" w:hAnsi="Calibri"/>
          <w:b/>
          <w:color w:val="6E8450"/>
          <w:sz w:val="18"/>
        </w:rPr>
        <w:t>261 Employees · https://www.cerus.com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Cerus has expanded its INTERCEPT platform from platelets and plasma into cryoprecipitation (INTERCEPT Fibrinogen Complex, or IFC) and red blood cells, representing meaningful but incremental extensions of its core pathogen reduction technology rather than transformative pivots [1]. AI Deployment (0/2): No evidence of AI-powered products or meaningful internal AI deployment; Cerus is focused on biochemistry-based blood safety, not AI technology [2]. Market Share (2/2): Cerus is the global leader in pathogen reduction technology for blood components, with the INTERCEPT system adopted by blood centers across the U.S., Europe, Middle East, and Latin America — a category it essentially created and continues to define [1]. Pipeline (1/2): The INTERCEPT Blood System for red blood cells represents a significant pipeline opportunity still in development; the IFC product (cryoprecipitation) generated $20-22M in 2025 revenue and is ramping, but specific next-gen product timelines beyond current platforms are limited [1]. R&amp;D Intensity (1/1): Cerus has invested in R&amp;D for over 30 years on pathogen reduction technology, including government-funded research for military and civilian blood safety applications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Cerus was founded on the belief that improving blood safety and availability would have a meaningful impact on individuals and society — a specific, purposeful mission that has been consistently pursued for over 30 years [3]. The mission directly connects to saving lives through safer blood transfusions. This is thoughtful and genuine, though not yet proven transformative at the scale of a Sinek exemplar. Community Impact (1/2): Cerus's products protect transfusion recipients globally from blood-borne pathogens, which is inherently community-serving; the company also participates in government-funded programs for military blood safety applications [3]. Employee Retention (0/2): Glassdoor rating is mixed at 55% recommendation rate with culture scores of 3.2/5; reviews cite positive CEO leadership and collaborative culture but also concerns about management communication and below-average compensation [2]. Insider Buying (1/2): CEO William 'Obi' Greenman has served since 2011 (15 years), providing significant leadership continuity; incoming CEO Vivek Jayaraman has been with Cerus since 2016 and served as COO since 2020, suggesting a planned, aligned succession rather than external disruption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Cerus shows improving but still-weak financials. Revenue grew 13.7% YoY to $206M with a 3-year CAGR of 8.4%, and the company guided 2026 product revenue of $224-228M (9-11% growth) [1]. Gross margin of 54.5% is solid for a medical device company, but GAAP profit margin remains negative at -7.6% and ROE is negative 25.7%, reflecting ongoing investment ahead of profitability [6]. D/E of 149.2% ($97M debt vs $83M cash) creates moderate leverage risk, and forward P/E of -388x confirms the company is not yet expected to be profitable in the near term [6]. Positively, Cerus achieved positive adjusted EBITDA for seven consecutive quarters ($9.5M for full year 2025) and generated $2.5M in free cash flow, suggesting the path to GAAP profitability is approaching [1]. Liquidity floor cleared at $3.0M daily traded value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Cerus exhibits strong infinite game characteristics in its 30+ year commitment to a single cause — making blood transfusions safer worldwide. CEO Greenman's 15-year tenure and the planned succession to COO Jayaraman demonstrate leadership continuity. The company patiently invested through decades of losses before approaching profitability, which Sinek would recognize as playing to keep playing. However, the single-product-platform dependence and operational challenges limit flexibility.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Cerus's cause — improving blood safety and availability to meaningfully impact individuals and society — has been consistently pursued for over 30 years through decades of operating losses [3]. The company created the pathogen reduction category for blood components, and the INTERCEPT system now protects transfusion recipients globally. This cause has survived leadership transitions and financial pressure, demonstrating the resilience Sinek values. It is genuine and partially validated, though the company's commercial scale is still building [2 pts].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Greenman's 15-year tenure and the planned succession to Jayaraman (10 years with the company, COO since 2020) suggest organizational stability at the leadership level [2]. Some Glassdoor reviews praise the CEO as 'amazing' and cite a supportive, collaborative culture. However, the 55% recommendation rate and 3.2/5 culture scores indicate mixed employee experience, with concerns about inter-departmental communication and below-industry compensation [2][1 pt].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Cerus operates in a category it largely created (pathogen reduction for blood components), and rather than positioning against competitors, the company frames its challenge as expanding adoption of pathogen reduction technology across the global blood supply [1]. This is an inherently infinite framing — growing the category rather than defeating rivals — consistent with Sinek's framework [1 pt].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Cerus has maintained its focus on the INTERCEPT Blood System for its entire 35-year history, extending the platform to additional blood components (platelets, plasma, cryoprecipitation, red blood cells) but never pivoting to a fundamentally different technology or market [1]. While this consistency is admirable, it means the company has not been tested on existential flexibility — it has never had to abandon its core approach. Sinek would note the single-platform dependence as a vulnerability [0 pts].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Cerus invested through 30+ years of operating losses to develop and commercialize pathogen reduction technology, demonstrating extraordinary patience and conviction in its mission [1][3]. The decision to pursue FDA approval for the red blood cell system despite the enormous cost and timeline represents choosing long-term capability over short-term earnings. However, this courage was partly enabled by government grants and external funding rather than purely self-funded conviction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Cerus is approaching a meaningful profitability inflection after 30+ years of development investment, with 2025 product revenue of $206M (up 14% YoY), seven consecutive quarters of positive adjusted EBITDA ($9.5M for full year), and $2.5M in free cash flow — the company is transitioning from cash-burning R&amp;D firm to self-sustaining commercial enterprise [1]. The INTERCEPT Blood System is the category leader in pathogen reduction, an underadopted technology with significant room for market expansion as more blood centers adopt pathogen-reduced components. 2026 product revenue guidance of $224-228M (9-11% growth) with IFC contributing $20-22M provides visibility into continued growth, and the red blood cell system represents a significant additional market opportunity [1]. At a $373M market cap and 54.5% gross margins, the stock offers compelling value if GAAP profitability arrives.</w:t>
      </w:r>
    </w:p>
    <w:p>
      <w:pPr>
        <w:spacing w:after="120"/>
      </w:pPr>
      <w:r>
        <w:rPr>
          <w:rFonts w:ascii="Calibri" w:hAnsi="Calibri"/>
          <w:b w:val="0"/>
          <w:color w:val="3A4A28"/>
          <w:sz w:val="20"/>
        </w:rPr>
        <w:t>The bear case centers on the company's persistent inability to achieve GAAP profitability despite 30+ years of operations and $206M in revenue. GAAP net loss was $15.6M in 2025, ROE is negative 25.7%, and the stock trades at $1.94 — down 34% from its 52-week high of $2.96 [6]. D/E of 149% with $97M debt and $83M cash creates meaningful leverage risk for a company that is still GAAP-unprofitable. Revenue growth is decelerating from 16% in 2025 to guided 9-11% in 2026 [1]. The CEO transition from Greenman to Jayaraman in July 2026 introduces leadership uncertainty at a critical juncture. The single-platform INTERCEPT dependence means any regulatory issue, competitive technology, or market adoption slowdown could severely impact the entire business [2]. At $1.94, the stock has limited margin of safety if the profitability timeline extends further.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Path to GAAP profitability — seven consecutive quarters of positive adjusted EBITDA ($9.5M annual) suggests GAAP breakeven is approaching, potentially in 2027 [1]</w:t>
      </w:r>
    </w:p>
    <w:p>
      <w:pPr>
        <w:spacing w:before="40" w:after="40"/>
        <w:ind w:left="283"/>
      </w:pPr>
      <w:r>
        <w:rPr>
          <w:rFonts w:ascii="Calibri" w:hAnsi="Calibri"/>
          <w:b/>
          <w:color w:val="4A6B25"/>
          <w:sz w:val="20"/>
        </w:rPr>
        <w:t xml:space="preserve">2. </w:t>
      </w:r>
      <w:r>
        <w:rPr>
          <w:rFonts w:ascii="Calibri" w:hAnsi="Calibri"/>
          <w:b w:val="0"/>
          <w:color w:val="3A4A28"/>
          <w:sz w:val="20"/>
        </w:rPr>
        <w:t>INTERCEPT for red blood cells represents a large incremental market opportunity that could significantly expand the addressable market beyond platelets and plasma [1]</w:t>
      </w:r>
    </w:p>
    <w:p>
      <w:pPr>
        <w:spacing w:before="40" w:after="40"/>
        <w:ind w:left="283"/>
      </w:pPr>
      <w:r>
        <w:rPr>
          <w:rFonts w:ascii="Calibri" w:hAnsi="Calibri"/>
          <w:b/>
          <w:color w:val="4A6B25"/>
          <w:sz w:val="20"/>
        </w:rPr>
        <w:t xml:space="preserve">3. </w:t>
      </w:r>
      <w:r>
        <w:rPr>
          <w:rFonts w:ascii="Calibri" w:hAnsi="Calibri"/>
          <w:b w:val="0"/>
          <w:color w:val="3A4A28"/>
          <w:sz w:val="20"/>
        </w:rPr>
        <w:t>IFC (cryoprecipitation) product ramping to $20-22M in guided 2026 revenue, providing a second growth vector within the existing commercial infrastructure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GAAP unprofitability — 30+ years without a GAAP-profitable year despite $206M revenue creates legitimate questions about the business model's unit economics and path to sustained profitability [6]</w:t>
      </w:r>
    </w:p>
    <w:p>
      <w:pPr>
        <w:spacing w:before="40" w:after="40"/>
        <w:ind w:left="283"/>
      </w:pPr>
      <w:r>
        <w:rPr>
          <w:rFonts w:ascii="Calibri" w:hAnsi="Calibri"/>
          <w:b/>
          <w:color w:val="4A6B25"/>
          <w:sz w:val="20"/>
        </w:rPr>
        <w:t xml:space="preserve">2. </w:t>
      </w:r>
      <w:r>
        <w:rPr>
          <w:rFonts w:ascii="Calibri" w:hAnsi="Calibri"/>
          <w:b w:val="0"/>
          <w:color w:val="3A4A28"/>
          <w:sz w:val="20"/>
        </w:rPr>
        <w:t>CEO succession risk — William Greenman departing after 15 years as CEO in July 2026, with Vivek Jayaraman taking over during a critical profitability transition period [2]</w:t>
      </w:r>
    </w:p>
    <w:p>
      <w:pPr>
        <w:spacing w:before="40" w:after="40"/>
        <w:ind w:left="283"/>
      </w:pPr>
      <w:r>
        <w:rPr>
          <w:rFonts w:ascii="Calibri" w:hAnsi="Calibri"/>
          <w:b/>
          <w:color w:val="4A6B25"/>
          <w:sz w:val="20"/>
        </w:rPr>
        <w:t xml:space="preserve">3. </w:t>
      </w:r>
      <w:r>
        <w:rPr>
          <w:rFonts w:ascii="Calibri" w:hAnsi="Calibri"/>
          <w:b w:val="0"/>
          <w:color w:val="3A4A28"/>
          <w:sz w:val="20"/>
        </w:rPr>
        <w:t>Single-platform concentration — entire company revenue depends on the INTERCEPT Blood System; any competitive technology disruption, regulatory change, or adoption slowdown impacts 100% of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Blood safety and pathogen reduction is a deeply physical, biochemistry-based process that AI cannot substitute — you cannot digitize the inactivation of blood-borne pathogens in donated platelets, plasma, or red blood cells [1]. The INTERCEPT system uses photochemistry (amotosalen/UVA light) to crosslink nucleic acids and inactivate pathogens; this is physical product intervention that requires actual devices and chemistry at the point of blood processing. Blood banking is heavily regulated by the FDA and European authorities, creating structural regulatory moats. AI cannot replace the need for pathogen-reduced blood components in surgical and trauma settings. AI Opportunity (0/1): No evidence of AI-generated revenue; Cerus's technology platform is based on photochemistry, not AI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Cerus Corporation Full-Year 2025 Financial Results — $233.8M total revenue (up 16%), $206.1M product revenue (up 14%), positive adjusted EBITDA $9.5M, GAAP net loss $15.6M, February 2026</w:t>
      </w:r>
    </w:p>
    <w:p>
      <w:pPr>
        <w:spacing w:before="20" w:after="20"/>
        <w:ind w:left="170"/>
      </w:pPr>
      <w:r>
        <w:rPr>
          <w:rFonts w:ascii="Calibri" w:hAnsi="Calibri"/>
          <w:b/>
          <w:color w:val="4A6B25"/>
          <w:sz w:val="15"/>
        </w:rPr>
        <w:t xml:space="preserve">2. </w:t>
      </w:r>
      <w:r>
        <w:rPr>
          <w:rFonts w:ascii="Calibri" w:hAnsi="Calibri"/>
          <w:b w:val="0"/>
          <w:color w:val="3A4A28"/>
          <w:sz w:val="17"/>
        </w:rPr>
        <w:t>Cerus Leadership and Culture — CEO Greenman (15yr tenure), succession to Vivek Jayaraman July 2026; Glassdoor 3.2/5 culture, 55% recommendation rate</w:t>
      </w:r>
    </w:p>
    <w:p>
      <w:pPr>
        <w:spacing w:before="20" w:after="20"/>
        <w:ind w:left="170"/>
      </w:pPr>
      <w:r>
        <w:rPr>
          <w:rFonts w:ascii="Calibri" w:hAnsi="Calibri"/>
          <w:b/>
          <w:color w:val="4A6B25"/>
          <w:sz w:val="15"/>
        </w:rPr>
        <w:t xml:space="preserve">3. </w:t>
      </w:r>
      <w:r>
        <w:rPr>
          <w:rFonts w:ascii="Calibri" w:hAnsi="Calibri"/>
          <w:b w:val="0"/>
          <w:color w:val="3A4A28"/>
          <w:sz w:val="17"/>
        </w:rPr>
        <w:t>Cerus Corporation ESG and Sustainability — mission to improve blood safety and availability, average ESG risk rating from Sustainalytics</w:t>
      </w:r>
    </w:p>
    <w:p>
      <w:pPr>
        <w:spacing w:before="20" w:after="20"/>
        <w:ind w:left="170"/>
      </w:pPr>
      <w:r>
        <w:rPr>
          <w:rFonts w:ascii="Calibri" w:hAnsi="Calibri"/>
          <w:b/>
          <w:color w:val="4A6B25"/>
          <w:sz w:val="15"/>
        </w:rPr>
        <w:t xml:space="preserve">4. </w:t>
      </w:r>
      <w:r>
        <w:rPr>
          <w:rFonts w:ascii="Calibri" w:hAnsi="Calibri"/>
          <w:b w:val="0"/>
          <w:color w:val="3A4A28"/>
          <w:sz w:val="17"/>
        </w:rPr>
        <w:t>StockTitan — Cerus 2025 revenue up 16%, 2026 product revenue guidance $224-228M (9-11% growth)</w:t>
      </w:r>
    </w:p>
    <w:p>
      <w:pPr>
        <w:spacing w:before="20" w:after="20"/>
        <w:ind w:left="170"/>
      </w:pPr>
      <w:r>
        <w:rPr>
          <w:rFonts w:ascii="Calibri" w:hAnsi="Calibri"/>
          <w:b/>
          <w:color w:val="4A6B25"/>
          <w:sz w:val="15"/>
        </w:rPr>
        <w:t xml:space="preserve">5. </w:t>
      </w:r>
      <w:r>
        <w:rPr>
          <w:rFonts w:ascii="Calibri" w:hAnsi="Calibri"/>
          <w:b w:val="0"/>
          <w:color w:val="3A4A28"/>
          <w:sz w:val="17"/>
        </w:rPr>
        <w:t>Investing.com — Cerus Q4 2025 earnings analysis, in-line results, 7% stock decline post-report</w:t>
      </w:r>
    </w:p>
    <w:p>
      <w:pPr>
        <w:spacing w:before="20" w:after="20"/>
        <w:ind w:left="170"/>
      </w:pPr>
      <w:r>
        <w:rPr>
          <w:rFonts w:ascii="Calibri" w:hAnsi="Calibri"/>
          <w:b/>
          <w:color w:val="4A6B25"/>
          <w:sz w:val="15"/>
        </w:rPr>
        <w:t xml:space="preserve">6. </w:t>
      </w:r>
      <w:r>
        <w:rPr>
          <w:rFonts w:ascii="Calibri" w:hAnsi="Calibri"/>
          <w:b w:val="0"/>
          <w:color w:val="3A4A28"/>
          <w:sz w:val="17"/>
        </w:rPr>
        <w:t>Yahoo Finance / yfinance data for CERS (Cerus Corporation), retrieved April 23,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